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>3GPP TSG-RAN WG2 Meeting #</w:t>
      </w:r>
      <w:r>
        <w:rPr>
          <w:rFonts w:hint="eastAsia" w:ascii="Arial" w:hAnsi="Arial" w:cs="Arial"/>
          <w:b/>
          <w:bCs/>
          <w:kern w:val="0"/>
          <w:sz w:val="24"/>
        </w:rPr>
        <w:t>AH1807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hint="eastAsia" w:ascii="Arial" w:hAnsi="Arial" w:cs="Arial"/>
          <w:b/>
          <w:bCs/>
          <w:kern w:val="0"/>
          <w:sz w:val="24"/>
        </w:rPr>
        <w:t xml:space="preserve">                             </w:t>
      </w:r>
      <w:r>
        <w:rPr>
          <w:rFonts w:hint="eastAsia" w:ascii="Arial" w:hAnsi="Arial" w:cs="Arial"/>
          <w:b/>
          <w:bCs/>
          <w:kern w:val="0"/>
          <w:sz w:val="24"/>
          <w:lang w:val="en-GB"/>
        </w:rPr>
        <w:t>R2-1</w:t>
      </w:r>
      <w:r>
        <w:rPr>
          <w:rFonts w:hint="eastAsia" w:ascii="Arial" w:hAnsi="Arial" w:cs="Arial"/>
          <w:b/>
          <w:bCs/>
          <w:kern w:val="0"/>
          <w:sz w:val="24"/>
        </w:rPr>
        <w:t>809638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2"/>
          <w:szCs w:val="22"/>
          <w:lang w:val="en-GB"/>
        </w:rPr>
      </w:pPr>
      <w:r>
        <w:rPr>
          <w:rFonts w:hint="eastAsia" w:ascii="Arial" w:hAnsi="Arial" w:cs="Arial"/>
          <w:b/>
          <w:bCs/>
          <w:kern w:val="0"/>
          <w:sz w:val="24"/>
        </w:rPr>
        <w:t>Montreal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hint="eastAsia" w:ascii="Arial" w:hAnsi="Arial" w:cs="Arial"/>
          <w:b/>
          <w:bCs/>
          <w:kern w:val="0"/>
          <w:sz w:val="24"/>
        </w:rPr>
        <w:t>Canada</w:t>
      </w:r>
      <w:r>
        <w:rPr>
          <w:rFonts w:ascii="Arial" w:hAnsi="Arial" w:cs="Arial"/>
          <w:b/>
          <w:bCs/>
          <w:kern w:val="0"/>
          <w:sz w:val="24"/>
          <w:lang w:val="en-GB"/>
        </w:rPr>
        <w:t>, 2</w:t>
      </w:r>
      <w:r>
        <w:rPr>
          <w:rFonts w:hint="eastAsia" w:ascii="Arial" w:hAnsi="Arial" w:cs="Arial"/>
          <w:b/>
          <w:bCs/>
          <w:kern w:val="0"/>
          <w:sz w:val="24"/>
          <w:vertAlign w:val="superscript"/>
        </w:rPr>
        <w:t>nd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– </w:t>
      </w:r>
      <w:r>
        <w:rPr>
          <w:rFonts w:hint="eastAsia" w:ascii="Arial" w:hAnsi="Arial" w:cs="Arial"/>
          <w:b/>
          <w:bCs/>
          <w:kern w:val="0"/>
          <w:sz w:val="24"/>
        </w:rPr>
        <w:t>6</w:t>
      </w:r>
      <w:r>
        <w:rPr>
          <w:rFonts w:hint="eastAsia"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hint="eastAsia" w:ascii="Arial" w:hAnsi="Arial" w:cs="Arial"/>
          <w:b/>
          <w:bCs/>
          <w:kern w:val="0"/>
          <w:sz w:val="24"/>
        </w:rPr>
        <w:t>July</w:t>
      </w:r>
      <w:r>
        <w:rPr>
          <w:rFonts w:hint="eastAsia" w:ascii="Arial" w:hAnsi="Arial" w:cs="Arial"/>
          <w:b/>
          <w:bCs/>
          <w:kern w:val="0"/>
          <w:sz w:val="24"/>
          <w:lang w:val="en-GB"/>
        </w:rPr>
        <w:t xml:space="preserve"> 2018 </w:t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ab/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ab/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ab/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ab/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 xml:space="preserve">      </w:t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ab/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 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ZTE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Corporation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Remaining issues for ANR reporting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10.4.1.4.5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and Decision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>
      <w:pPr>
        <w:spacing w:before="156"/>
      </w:pPr>
      <w:r>
        <w:rPr>
          <w:rFonts w:hint="eastAsia"/>
        </w:rPr>
        <w:t xml:space="preserve">During RAN2 #102 Busan meeting, </w:t>
      </w:r>
      <w:bookmarkStart w:id="2" w:name="_GoBack"/>
      <w:bookmarkEnd w:id="2"/>
      <w:r>
        <w:rPr>
          <w:rFonts w:hint="eastAsia"/>
        </w:rPr>
        <w:t>we discussed the ANR function and made the following agreements: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sz w:val="18"/>
          <w:szCs w:val="21"/>
        </w:rPr>
      </w:pPr>
      <w:r>
        <w:rPr>
          <w:sz w:val="18"/>
          <w:szCs w:val="21"/>
        </w:rPr>
        <w:t>Agreements for ANR (reportCGI functionality in RRC)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rFonts w:eastAsia="宋体"/>
          <w:sz w:val="18"/>
          <w:szCs w:val="21"/>
          <w:lang w:val="en-US" w:eastAsia="zh-CN"/>
        </w:rPr>
      </w:pPr>
      <w:r>
        <w:rPr>
          <w:rFonts w:hint="eastAsia" w:eastAsia="宋体"/>
          <w:sz w:val="18"/>
          <w:szCs w:val="21"/>
          <w:lang w:val="en-US" w:eastAsia="zh-CN"/>
        </w:rPr>
        <w:t>......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sz w:val="18"/>
          <w:szCs w:val="21"/>
        </w:rPr>
      </w:pPr>
      <w:r>
        <w:rPr>
          <w:sz w:val="18"/>
          <w:szCs w:val="21"/>
        </w:rPr>
        <w:t>3: For ANR reporting, the CGI content includes: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sz w:val="18"/>
          <w:szCs w:val="21"/>
        </w:rPr>
      </w:pPr>
      <w:r>
        <w:rPr>
          <w:sz w:val="18"/>
          <w:szCs w:val="21"/>
        </w:rPr>
        <w:t>-</w:t>
      </w:r>
      <w:r>
        <w:rPr>
          <w:sz w:val="18"/>
          <w:szCs w:val="21"/>
        </w:rPr>
        <w:tab/>
      </w:r>
      <w:r>
        <w:rPr>
          <w:sz w:val="18"/>
          <w:szCs w:val="21"/>
        </w:rPr>
        <w:t>a: PLMN list, TAC, frequency band list and CGI as baseline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sz w:val="18"/>
          <w:szCs w:val="21"/>
        </w:rPr>
      </w:pPr>
      <w:r>
        <w:rPr>
          <w:sz w:val="18"/>
          <w:szCs w:val="21"/>
        </w:rPr>
        <w:t>-</w:t>
      </w:r>
      <w:r>
        <w:rPr>
          <w:sz w:val="18"/>
          <w:szCs w:val="21"/>
        </w:rPr>
        <w:tab/>
      </w:r>
      <w:r>
        <w:rPr>
          <w:sz w:val="18"/>
          <w:szCs w:val="21"/>
        </w:rPr>
        <w:t>b: RANAC is also reported, if included in SIB1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sz w:val="18"/>
          <w:szCs w:val="21"/>
        </w:rPr>
      </w:pPr>
      <w:r>
        <w:rPr>
          <w:sz w:val="18"/>
          <w:szCs w:val="21"/>
        </w:rPr>
        <w:t>4:</w:t>
      </w:r>
      <w:r>
        <w:rPr>
          <w:sz w:val="18"/>
          <w:szCs w:val="21"/>
        </w:rPr>
        <w:tab/>
      </w:r>
      <w:r>
        <w:rPr>
          <w:sz w:val="18"/>
          <w:szCs w:val="21"/>
        </w:rPr>
        <w:t>In the case SIB1/RMSI is not broadcast, UE should report a notification to network. UE report includes: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sz w:val="18"/>
          <w:szCs w:val="21"/>
        </w:rPr>
      </w:pPr>
      <w:r>
        <w:rPr>
          <w:sz w:val="18"/>
          <w:szCs w:val="21"/>
        </w:rPr>
        <w:t>-</w:t>
      </w:r>
      <w:r>
        <w:rPr>
          <w:sz w:val="18"/>
          <w:szCs w:val="21"/>
        </w:rPr>
        <w:tab/>
      </w:r>
      <w:r>
        <w:rPr>
          <w:sz w:val="18"/>
          <w:szCs w:val="21"/>
        </w:rPr>
        <w:t>a: “no SIB1 provided” indication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sz w:val="18"/>
          <w:szCs w:val="21"/>
          <w:highlight w:val="yellow"/>
        </w:rPr>
      </w:pPr>
      <w:r>
        <w:rPr>
          <w:sz w:val="18"/>
          <w:szCs w:val="21"/>
          <w:highlight w:val="yellow"/>
        </w:rPr>
        <w:t>FFS whether UE should also report where CD-SSB of the measured SSB can be found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rFonts w:eastAsia="宋体"/>
          <w:sz w:val="18"/>
          <w:szCs w:val="21"/>
          <w:lang w:val="en-US" w:eastAsia="zh-CN"/>
        </w:rPr>
      </w:pPr>
      <w:r>
        <w:rPr>
          <w:rFonts w:hint="eastAsia" w:eastAsia="宋体"/>
          <w:sz w:val="18"/>
          <w:szCs w:val="21"/>
          <w:lang w:val="en-US" w:eastAsia="zh-CN"/>
        </w:rPr>
        <w:t>.....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sz w:val="18"/>
          <w:szCs w:val="21"/>
        </w:rPr>
      </w:pPr>
      <w:r>
        <w:rPr>
          <w:sz w:val="18"/>
          <w:szCs w:val="21"/>
        </w:rPr>
        <w:t>FFS where cellsForWhichToReportCGI is added (measID or reportConfig)</w:t>
      </w:r>
    </w:p>
    <w:p>
      <w:pPr>
        <w:spacing w:before="156"/>
      </w:pPr>
      <w:r>
        <w:rPr>
          <w:rFonts w:hint="eastAsia"/>
        </w:rPr>
        <w:t xml:space="preserve">In this contribution, we discuss the case </w:t>
      </w:r>
      <w:r>
        <w:t>when</w:t>
      </w:r>
      <w:r>
        <w:rPr>
          <w:rFonts w:hint="eastAsia"/>
        </w:rPr>
        <w:t xml:space="preserve"> SIB1 is not broadcast, and share our views on the necessity of reporting next CD-SSB.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ssb-SubcarrierOffset and pdcch-ConfigSIB1</w:t>
      </w:r>
    </w:p>
    <w:p>
      <w:pPr>
        <w:spacing w:before="156"/>
      </w:pPr>
      <w:r>
        <w:rPr>
          <w:rFonts w:hint="eastAsia"/>
        </w:rPr>
        <w:t>Based on RAN1 agreements, UE can determine the presence of Common coreset0</w:t>
      </w:r>
      <w:r>
        <w:t xml:space="preserve"> </w:t>
      </w:r>
      <w:r>
        <w:rPr>
          <w:rFonts w:hint="eastAsia"/>
        </w:rPr>
        <w:t xml:space="preserve">(for RMSI), and the presence of next CD-SSB based on two parameters: ssb-SubcarrierOffset and pdcch-ConfigSIB1. 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color w:val="808080"/>
          <w:szCs w:val="22"/>
        </w:rPr>
      </w:pPr>
      <w:r>
        <w:rPr>
          <w:color w:val="808080"/>
          <w:szCs w:val="22"/>
        </w:rPr>
        <w:t>-- ASN1START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color w:val="808080"/>
          <w:szCs w:val="22"/>
        </w:rPr>
      </w:pPr>
      <w:r>
        <w:rPr>
          <w:color w:val="808080"/>
          <w:szCs w:val="22"/>
        </w:rPr>
        <w:t>-- TAG-MIB-START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color w:val="808080"/>
          <w:szCs w:val="22"/>
        </w:rPr>
      </w:pP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 xml:space="preserve">MIB ::=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>SEQUENCE {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ab/>
      </w:r>
      <w:r>
        <w:rPr>
          <w:szCs w:val="22"/>
        </w:rPr>
        <w:t>systemFrameNumber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>BIT STRING (SIZE (6)),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ab/>
      </w:r>
      <w:r>
        <w:rPr>
          <w:szCs w:val="22"/>
        </w:rPr>
        <w:t>subCarrierSpacingCommon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>ENUMERATED {scs15or60, scs30or120},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ab/>
      </w:r>
      <w:r>
        <w:rPr>
          <w:szCs w:val="22"/>
          <w:highlight w:val="yellow"/>
        </w:rPr>
        <w:t>ssb-SubcarrierOffset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>INTEGER (0..15),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ab/>
      </w:r>
      <w:r>
        <w:rPr>
          <w:szCs w:val="22"/>
        </w:rPr>
        <w:t>dmrs-TypeA-Position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>ENUMERATED {pos2, pos3},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ab/>
      </w:r>
      <w:r>
        <w:rPr>
          <w:szCs w:val="22"/>
          <w:highlight w:val="yellow"/>
        </w:rPr>
        <w:t>pdcch-ConfigSIB1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 xml:space="preserve">INTEGER (0..255), 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ab/>
      </w:r>
      <w:r>
        <w:rPr>
          <w:szCs w:val="22"/>
        </w:rPr>
        <w:t>cellBarred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 xml:space="preserve">ENUMERATED {barred, notBarred}, 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ab/>
      </w:r>
      <w:r>
        <w:rPr>
          <w:szCs w:val="22"/>
        </w:rPr>
        <w:t>intraFreqReselection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>ENUMERATED {allowed, notAllowed},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ab/>
      </w:r>
      <w:r>
        <w:rPr>
          <w:szCs w:val="22"/>
        </w:rPr>
        <w:t>spare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>BIT STRING (SIZE (1))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>}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color w:val="808080"/>
          <w:szCs w:val="22"/>
        </w:rPr>
      </w:pP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color w:val="808080"/>
          <w:szCs w:val="22"/>
        </w:rPr>
      </w:pPr>
      <w:r>
        <w:rPr>
          <w:color w:val="808080"/>
          <w:szCs w:val="22"/>
        </w:rPr>
        <w:t>-- TAG-MIB-STOP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color w:val="808080"/>
        </w:rPr>
      </w:pPr>
      <w:r>
        <w:rPr>
          <w:color w:val="808080"/>
        </w:rPr>
        <w:t>-- ASN1STOP</w:t>
      </w:r>
    </w:p>
    <w:p>
      <w:pPr>
        <w:spacing w:before="156"/>
      </w:pPr>
      <w:r>
        <w:rPr>
          <w:rFonts w:hint="eastAsia"/>
        </w:rPr>
        <w:t>The ssb-SubcarrierOffset IE is represented as k</w:t>
      </w:r>
      <w:r>
        <w:rPr>
          <w:rFonts w:hint="eastAsia"/>
          <w:vertAlign w:val="subscript"/>
        </w:rPr>
        <w:t>SSB</w:t>
      </w:r>
      <w:r>
        <w:rPr>
          <w:rFonts w:hint="eastAsia"/>
        </w:rPr>
        <w:t xml:space="preserve"> in RAN1 spec TS38.213, the meaning of different value</w:t>
      </w:r>
      <w:r>
        <w:t>s</w:t>
      </w:r>
      <w:r>
        <w:rPr>
          <w:rFonts w:hint="eastAsia"/>
        </w:rPr>
        <w:t xml:space="preserve"> of this IE is shown in the below table.</w:t>
      </w:r>
    </w:p>
    <w:p>
      <w:pPr>
        <w:spacing w:before="156"/>
      </w:pPr>
      <w:r>
        <w:rPr>
          <w:rFonts w:hint="eastAsia"/>
        </w:rPr>
        <w:t>(Note: for FR1, the UE determines the 5</w:t>
      </w:r>
      <w:r>
        <w:rPr>
          <w:rFonts w:hint="eastAsia"/>
          <w:vertAlign w:val="superscript"/>
        </w:rPr>
        <w:t>th</w:t>
      </w:r>
      <w:r>
        <w:rPr>
          <w:rFonts w:hint="eastAsia"/>
        </w:rPr>
        <w:t xml:space="preserve"> significant bit of k</w:t>
      </w:r>
      <w:r>
        <w:rPr>
          <w:rFonts w:hint="eastAsia"/>
          <w:vertAlign w:val="subscript"/>
        </w:rPr>
        <w:t>SSB</w:t>
      </w:r>
      <w:r>
        <w:rPr>
          <w:rFonts w:hint="eastAsia"/>
        </w:rPr>
        <w:t xml:space="preserve"> by PBCH payload.) </w:t>
      </w:r>
    </w:p>
    <w:tbl>
      <w:tblPr>
        <w:tblStyle w:val="65"/>
        <w:tblW w:w="744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2022"/>
        <w:gridCol w:w="2215"/>
        <w:gridCol w:w="1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237" w:type="dxa"/>
            <w:vMerge w:val="restart"/>
            <w:shd w:val="clear" w:color="auto" w:fill="92D050"/>
            <w:vAlign w:val="center"/>
          </w:tcPr>
          <w:p>
            <w:pPr>
              <w:snapToGrid w:val="0"/>
              <w:spacing w:before="0" w:beforeLines="0" w:after="40" w:line="260" w:lineRule="auto"/>
            </w:pPr>
            <w:r>
              <w:rPr>
                <w:rFonts w:hint="eastAsia"/>
              </w:rPr>
              <w:t>Frequency</w:t>
            </w:r>
          </w:p>
        </w:tc>
        <w:tc>
          <w:tcPr>
            <w:tcW w:w="2022" w:type="dxa"/>
            <w:vMerge w:val="restart"/>
            <w:shd w:val="clear" w:color="auto" w:fill="92D050"/>
            <w:vAlign w:val="center"/>
          </w:tcPr>
          <w:p>
            <w:pPr>
              <w:snapToGrid w:val="0"/>
              <w:spacing w:before="0" w:beforeLines="0" w:after="40" w:line="260" w:lineRule="auto"/>
              <w:jc w:val="center"/>
            </w:pPr>
            <w:r>
              <w:rPr>
                <w:rFonts w:hint="eastAsia"/>
              </w:rPr>
              <w:t>Case1: Coreset0 of SIB1 is present</w:t>
            </w:r>
          </w:p>
        </w:tc>
        <w:tc>
          <w:tcPr>
            <w:tcW w:w="4187" w:type="dxa"/>
            <w:gridSpan w:val="2"/>
            <w:shd w:val="clear" w:color="auto" w:fill="92D050"/>
            <w:vAlign w:val="center"/>
          </w:tcPr>
          <w:p>
            <w:pPr>
              <w:snapToGrid w:val="0"/>
              <w:spacing w:before="0" w:beforeLines="0" w:after="40" w:line="260" w:lineRule="auto"/>
              <w:jc w:val="center"/>
            </w:pPr>
            <w:r>
              <w:rPr>
                <w:rFonts w:hint="eastAsia"/>
                <w:color w:val="FF0000"/>
              </w:rPr>
              <w:t>Coreset0 of SIB1 is not present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237" w:type="dxa"/>
            <w:vMerge w:val="continue"/>
            <w:shd w:val="clear" w:color="auto" w:fill="92D050"/>
            <w:vAlign w:val="center"/>
          </w:tcPr>
          <w:p>
            <w:pPr>
              <w:snapToGrid w:val="0"/>
              <w:spacing w:before="0" w:beforeLines="0" w:after="40" w:line="260" w:lineRule="auto"/>
            </w:pPr>
          </w:p>
        </w:tc>
        <w:tc>
          <w:tcPr>
            <w:tcW w:w="2022" w:type="dxa"/>
            <w:vMerge w:val="continue"/>
            <w:shd w:val="clear" w:color="auto" w:fill="92D050"/>
            <w:vAlign w:val="center"/>
          </w:tcPr>
          <w:p>
            <w:pPr>
              <w:snapToGrid w:val="0"/>
              <w:spacing w:before="0" w:beforeLines="0" w:after="40" w:line="260" w:lineRule="auto"/>
            </w:pPr>
          </w:p>
        </w:tc>
        <w:tc>
          <w:tcPr>
            <w:tcW w:w="2215" w:type="dxa"/>
            <w:shd w:val="clear" w:color="auto" w:fill="92D050"/>
            <w:vAlign w:val="center"/>
          </w:tcPr>
          <w:p>
            <w:pPr>
              <w:snapToGrid w:val="0"/>
              <w:spacing w:before="0" w:beforeLines="0" w:after="40" w:line="260" w:lineRule="auto"/>
            </w:pPr>
            <w:r>
              <w:rPr>
                <w:rFonts w:hint="eastAsia"/>
              </w:rPr>
              <w:t xml:space="preserve">Case2: next CD-SSB is indicated </w:t>
            </w:r>
          </w:p>
        </w:tc>
        <w:tc>
          <w:tcPr>
            <w:tcW w:w="1972" w:type="dxa"/>
            <w:shd w:val="clear" w:color="auto" w:fill="92D050"/>
            <w:vAlign w:val="center"/>
          </w:tcPr>
          <w:p>
            <w:pPr>
              <w:snapToGrid w:val="0"/>
              <w:spacing w:before="0" w:beforeLines="0" w:after="40" w:line="260" w:lineRule="auto"/>
            </w:pPr>
            <w:r>
              <w:rPr>
                <w:rFonts w:hint="eastAsia"/>
              </w:rPr>
              <w:t>Case3: no CD-SSB is indicated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237" w:type="dxa"/>
            <w:vAlign w:val="center"/>
          </w:tcPr>
          <w:p>
            <w:pPr>
              <w:snapToGrid w:val="0"/>
              <w:spacing w:before="0" w:beforeLines="0" w:after="40" w:line="260" w:lineRule="auto"/>
            </w:pPr>
            <w:r>
              <w:rPr>
                <w:rFonts w:hint="eastAsia"/>
              </w:rPr>
              <w:t>FR1</w:t>
            </w:r>
          </w:p>
        </w:tc>
        <w:tc>
          <w:tcPr>
            <w:tcW w:w="2022" w:type="dxa"/>
            <w:vAlign w:val="center"/>
          </w:tcPr>
          <w:p>
            <w:pPr>
              <w:snapToGrid w:val="0"/>
              <w:spacing w:before="0" w:beforeLines="0" w:after="40" w:line="260" w:lineRule="auto"/>
              <w:jc w:val="center"/>
            </w:pPr>
            <w:r>
              <w:t>k</w:t>
            </w:r>
            <w:r>
              <w:rPr>
                <w:vertAlign w:val="subscript"/>
              </w:rPr>
              <w:t>SSB</w:t>
            </w:r>
            <w:r>
              <w:t xml:space="preserve"> </w:t>
            </w:r>
            <w:r>
              <w:rPr>
                <w:rFonts w:eastAsia="宋体"/>
              </w:rPr>
              <w:t xml:space="preserve">≤ </w:t>
            </w:r>
            <w:r>
              <w:t>23</w:t>
            </w:r>
          </w:p>
        </w:tc>
        <w:tc>
          <w:tcPr>
            <w:tcW w:w="2215" w:type="dxa"/>
            <w:vAlign w:val="center"/>
          </w:tcPr>
          <w:p>
            <w:pPr>
              <w:snapToGrid w:val="0"/>
              <w:spacing w:before="0" w:beforeLines="0" w:after="40" w:line="260" w:lineRule="auto"/>
              <w:jc w:val="center"/>
            </w:pPr>
            <w:r>
              <w:t>24</w:t>
            </w:r>
            <w:r>
              <w:rPr>
                <w:rFonts w:eastAsia="宋体"/>
              </w:rPr>
              <w:t xml:space="preserve">≤ </w:t>
            </w:r>
            <w:r>
              <w:t>k</w:t>
            </w:r>
            <w:r>
              <w:rPr>
                <w:vertAlign w:val="subscript"/>
              </w:rPr>
              <w:t>SSB</w:t>
            </w:r>
            <w:r>
              <w:rPr>
                <w:rFonts w:eastAsia="宋体"/>
              </w:rPr>
              <w:t xml:space="preserve"> ≤ 29</w:t>
            </w:r>
          </w:p>
        </w:tc>
        <w:tc>
          <w:tcPr>
            <w:tcW w:w="1972" w:type="dxa"/>
            <w:vAlign w:val="center"/>
          </w:tcPr>
          <w:p>
            <w:pPr>
              <w:snapToGrid w:val="0"/>
              <w:spacing w:before="0" w:beforeLines="0" w:after="40" w:line="260" w:lineRule="auto"/>
              <w:jc w:val="center"/>
            </w:pPr>
            <w:r>
              <w:t>k</w:t>
            </w:r>
            <w:r>
              <w:rPr>
                <w:vertAlign w:val="subscript"/>
              </w:rPr>
              <w:t>SSB</w:t>
            </w:r>
            <w:r>
              <w:rPr>
                <w:rFonts w:hint="eastAsia"/>
                <w:vertAlign w:val="subscript"/>
              </w:rPr>
              <w:t xml:space="preserve"> </w:t>
            </w:r>
            <w:r>
              <w:rPr>
                <w:rFonts w:hint="eastAsia" w:eastAsia="宋体"/>
              </w:rPr>
              <w:t>= 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237" w:type="dxa"/>
            <w:vAlign w:val="center"/>
          </w:tcPr>
          <w:p>
            <w:pPr>
              <w:snapToGrid w:val="0"/>
              <w:spacing w:before="0" w:beforeLines="0" w:after="40" w:line="260" w:lineRule="auto"/>
            </w:pPr>
            <w:r>
              <w:rPr>
                <w:rFonts w:hint="eastAsia"/>
              </w:rPr>
              <w:t>FR2</w:t>
            </w:r>
          </w:p>
        </w:tc>
        <w:tc>
          <w:tcPr>
            <w:tcW w:w="2022" w:type="dxa"/>
            <w:vAlign w:val="center"/>
          </w:tcPr>
          <w:p>
            <w:pPr>
              <w:snapToGrid w:val="0"/>
              <w:spacing w:before="0" w:beforeLines="0" w:after="40" w:line="260" w:lineRule="auto"/>
              <w:jc w:val="center"/>
            </w:pPr>
            <w:r>
              <w:t>k</w:t>
            </w:r>
            <w:r>
              <w:rPr>
                <w:vertAlign w:val="subscript"/>
              </w:rPr>
              <w:t>SSB</w:t>
            </w:r>
            <w:r>
              <w:t xml:space="preserve"> </w:t>
            </w:r>
            <w:r>
              <w:rPr>
                <w:rFonts w:eastAsia="宋体"/>
              </w:rPr>
              <w:t xml:space="preserve">≤ </w:t>
            </w:r>
            <w:r>
              <w:rPr>
                <w:rFonts w:hint="eastAsia" w:eastAsia="宋体"/>
              </w:rPr>
              <w:t>11</w:t>
            </w:r>
          </w:p>
        </w:tc>
        <w:tc>
          <w:tcPr>
            <w:tcW w:w="2215" w:type="dxa"/>
            <w:vAlign w:val="center"/>
          </w:tcPr>
          <w:p>
            <w:pPr>
              <w:snapToGrid w:val="0"/>
              <w:spacing w:before="0" w:beforeLines="0" w:after="40" w:line="260" w:lineRule="auto"/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  <w:r>
              <w:rPr>
                <w:rFonts w:eastAsia="宋体"/>
              </w:rPr>
              <w:t xml:space="preserve">≤ </w:t>
            </w:r>
            <w:r>
              <w:t>k</w:t>
            </w:r>
            <w:r>
              <w:rPr>
                <w:vertAlign w:val="subscript"/>
              </w:rPr>
              <w:t>SSB</w:t>
            </w:r>
            <w:r>
              <w:rPr>
                <w:rFonts w:eastAsia="宋体"/>
              </w:rPr>
              <w:t xml:space="preserve"> ≤ </w:t>
            </w:r>
            <w:r>
              <w:rPr>
                <w:rFonts w:hint="eastAsia" w:eastAsia="宋体"/>
              </w:rPr>
              <w:t>13</w:t>
            </w:r>
          </w:p>
        </w:tc>
        <w:tc>
          <w:tcPr>
            <w:tcW w:w="1972" w:type="dxa"/>
            <w:vAlign w:val="center"/>
          </w:tcPr>
          <w:p>
            <w:pPr>
              <w:snapToGrid w:val="0"/>
              <w:spacing w:before="0" w:beforeLines="0" w:after="40" w:line="260" w:lineRule="auto"/>
              <w:jc w:val="center"/>
            </w:pPr>
            <w:r>
              <w:t>k</w:t>
            </w:r>
            <w:r>
              <w:rPr>
                <w:vertAlign w:val="subscript"/>
              </w:rPr>
              <w:t>SSB</w:t>
            </w:r>
            <w:r>
              <w:rPr>
                <w:rFonts w:hint="eastAsia"/>
                <w:vertAlign w:val="subscript"/>
              </w:rPr>
              <w:t xml:space="preserve"> </w:t>
            </w:r>
            <w:r>
              <w:rPr>
                <w:rFonts w:hint="eastAsia" w:eastAsia="宋体"/>
              </w:rPr>
              <w:t>= 15</w:t>
            </w:r>
          </w:p>
        </w:tc>
      </w:tr>
    </w:tbl>
    <w:p>
      <w:pPr>
        <w:spacing w:before="156"/>
      </w:pPr>
      <w:r>
        <w:rPr>
          <w:rFonts w:hint="eastAsia"/>
        </w:rPr>
        <w:t xml:space="preserve">As we agreed in RAN2 last meeting, </w:t>
      </w:r>
      <w:r>
        <w:t>for</w:t>
      </w:r>
      <w:r>
        <w:rPr>
          <w:rFonts w:hint="eastAsia"/>
        </w:rPr>
        <w:t xml:space="preserve"> reportCGI measurement, in the case SIB1/RMSI is not broadcast, UE should report </w:t>
      </w:r>
      <w:r>
        <w:t>“</w:t>
      </w:r>
      <w:r>
        <w:rPr>
          <w:rFonts w:hint="eastAsia"/>
        </w:rPr>
        <w:t>no SIB1 provided</w:t>
      </w:r>
      <w:r>
        <w:t>”</w:t>
      </w:r>
      <w:r>
        <w:rPr>
          <w:rFonts w:hint="eastAsia"/>
        </w:rPr>
        <w:t xml:space="preserve"> indication to network in measurement report, and based on above table, UE can derive this indication if k</w:t>
      </w:r>
      <w:r>
        <w:rPr>
          <w:rFonts w:hint="eastAsia"/>
          <w:vertAlign w:val="subscript"/>
        </w:rPr>
        <w:t>SSB</w:t>
      </w:r>
      <w:r>
        <w:rPr>
          <w:rFonts w:hint="eastAsia"/>
        </w:rPr>
        <w:t xml:space="preserve"> is larger than 23 for FR1, and larger than 11 for FR2.  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 xml:space="preserve">Observation1: 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UE can derive </w:t>
      </w:r>
      <w:r>
        <w:rPr>
          <w:b/>
        </w:rPr>
        <w:t>“</w:t>
      </w:r>
      <w:r>
        <w:rPr>
          <w:rFonts w:hint="eastAsia"/>
          <w:b/>
        </w:rPr>
        <w:t>no SIB1 provided</w:t>
      </w:r>
      <w:r>
        <w:rPr>
          <w:b/>
        </w:rPr>
        <w:t>”</w:t>
      </w:r>
      <w:r>
        <w:rPr>
          <w:rFonts w:hint="eastAsia"/>
          <w:b/>
        </w:rPr>
        <w:t xml:space="preserve"> indication when the decoded </w:t>
      </w:r>
      <w:r>
        <w:rPr>
          <w:rFonts w:hint="eastAsia"/>
          <w:b/>
          <w:bCs/>
        </w:rPr>
        <w:t>k</w:t>
      </w:r>
      <w:r>
        <w:rPr>
          <w:rFonts w:hint="eastAsia"/>
          <w:b/>
          <w:bCs/>
          <w:vertAlign w:val="subscript"/>
        </w:rPr>
        <w:t>SSB</w:t>
      </w:r>
      <w:r>
        <w:rPr>
          <w:rFonts w:hint="eastAsia"/>
          <w:b/>
        </w:rPr>
        <w:t xml:space="preserve"> is larger than 23 for FR1, and larger than 11 for FR2.</w:t>
      </w:r>
    </w:p>
    <w:p>
      <w:pPr>
        <w:spacing w:before="156"/>
      </w:pPr>
      <w:r>
        <w:rPr>
          <w:rFonts w:hint="eastAsia"/>
        </w:rPr>
        <w:t>Furthermore, for FR1, although the 5</w:t>
      </w:r>
      <w:r>
        <w:rPr>
          <w:rFonts w:hint="eastAsia"/>
          <w:vertAlign w:val="superscript"/>
        </w:rPr>
        <w:t>th</w:t>
      </w:r>
      <w:r>
        <w:rPr>
          <w:rFonts w:hint="eastAsia"/>
        </w:rPr>
        <w:t xml:space="preserve"> significant bit of k</w:t>
      </w:r>
      <w:r>
        <w:rPr>
          <w:rFonts w:hint="eastAsia"/>
          <w:vertAlign w:val="subscript"/>
        </w:rPr>
        <w:t>SSB</w:t>
      </w:r>
      <w:r>
        <w:rPr>
          <w:rFonts w:hint="eastAsia"/>
        </w:rPr>
        <w:t xml:space="preserve"> is transmitted by PBCH payload, the value of this bit can only be </w:t>
      </w:r>
      <w:r>
        <w:t>‘</w:t>
      </w:r>
      <w:r>
        <w:rPr>
          <w:rFonts w:hint="eastAsia"/>
        </w:rPr>
        <w:t>1</w:t>
      </w:r>
      <w:r>
        <w:t>’</w:t>
      </w:r>
      <w:r>
        <w:rPr>
          <w:rFonts w:hint="eastAsia"/>
        </w:rPr>
        <w:t xml:space="preserve"> when k</w:t>
      </w:r>
      <w:r>
        <w:rPr>
          <w:rFonts w:hint="eastAsia"/>
          <w:vertAlign w:val="subscript"/>
        </w:rPr>
        <w:t>SSB</w:t>
      </w:r>
      <w:r>
        <w:rPr>
          <w:rFonts w:hint="eastAsia"/>
        </w:rPr>
        <w:t xml:space="preserve"> is larger than 23.</w:t>
      </w:r>
    </w:p>
    <w:p>
      <w:pPr>
        <w:spacing w:before="156" w:after="156" w:afterLines="50"/>
        <w:ind w:left="1202" w:hanging="1202" w:hangingChars="570"/>
      </w:pPr>
      <w:r>
        <w:rPr>
          <w:rFonts w:hint="eastAsia"/>
          <w:b/>
        </w:rPr>
        <w:t xml:space="preserve">Observation2: 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For FR1 case, when </w:t>
      </w:r>
      <w:r>
        <w:rPr>
          <w:rFonts w:hint="eastAsia"/>
        </w:rPr>
        <w:t>k</w:t>
      </w:r>
      <w:r>
        <w:rPr>
          <w:rFonts w:hint="eastAsia"/>
          <w:vertAlign w:val="subscript"/>
        </w:rPr>
        <w:t xml:space="preserve">SSB </w:t>
      </w:r>
      <w:r>
        <w:rPr>
          <w:rFonts w:hint="eastAsia"/>
          <w:b/>
        </w:rPr>
        <w:t>is larger than 23, the 5</w:t>
      </w:r>
      <w:r>
        <w:rPr>
          <w:rFonts w:hint="eastAsia"/>
          <w:b/>
          <w:vertAlign w:val="superscript"/>
        </w:rPr>
        <w:t>th</w:t>
      </w:r>
      <w:r>
        <w:rPr>
          <w:rFonts w:hint="eastAsia"/>
          <w:b/>
        </w:rPr>
        <w:t xml:space="preserve"> significant bit of </w:t>
      </w:r>
      <w:r>
        <w:rPr>
          <w:rFonts w:hint="eastAsia"/>
        </w:rPr>
        <w:t>k</w:t>
      </w:r>
      <w:r>
        <w:rPr>
          <w:rFonts w:hint="eastAsia"/>
          <w:vertAlign w:val="subscript"/>
        </w:rPr>
        <w:t xml:space="preserve">SSB </w:t>
      </w:r>
      <w:r>
        <w:rPr>
          <w:rFonts w:hint="eastAsia"/>
          <w:b/>
        </w:rPr>
        <w:t xml:space="preserve">in PBCH payload must be </w:t>
      </w:r>
      <w:r>
        <w:rPr>
          <w:b/>
        </w:rPr>
        <w:t>‘</w:t>
      </w:r>
      <w:r>
        <w:rPr>
          <w:rFonts w:hint="eastAsia"/>
          <w:b/>
        </w:rPr>
        <w:t>1</w:t>
      </w:r>
      <w:r>
        <w:rPr>
          <w:b/>
        </w:rPr>
        <w:t>’</w:t>
      </w:r>
      <w:r>
        <w:rPr>
          <w:rFonts w:hint="eastAsia"/>
          <w:b/>
        </w:rPr>
        <w:t>.</w:t>
      </w:r>
    </w:p>
    <w:p>
      <w:pPr>
        <w:spacing w:before="156"/>
      </w:pPr>
      <w:r>
        <w:rPr>
          <w:rFonts w:hint="eastAsia"/>
        </w:rPr>
        <w:t>For case2 in above table, based on the description and formulas defined in TS38.213(as shown in Annex), UE can determine the frequency location of nearest CD-SSB based on the value of k</w:t>
      </w:r>
      <w:r>
        <w:rPr>
          <w:rFonts w:hint="eastAsia"/>
          <w:vertAlign w:val="subscript"/>
        </w:rPr>
        <w:t>SSB</w:t>
      </w:r>
      <w:r>
        <w:rPr>
          <w:rFonts w:hint="eastAsia"/>
        </w:rPr>
        <w:t xml:space="preserve">, pdcch-ConfigSIB1 and the frequency of current SSB. </w:t>
      </w:r>
    </w:p>
    <w:p>
      <w:pPr>
        <w:spacing w:before="156"/>
      </w:pPr>
      <w:r>
        <w:rPr>
          <w:rFonts w:hint="eastAsia"/>
        </w:rPr>
        <w:t>In addition, for case3 above, although there</w:t>
      </w:r>
      <w:r>
        <w:t>’</w:t>
      </w:r>
      <w:r>
        <w:rPr>
          <w:rFonts w:hint="eastAsia"/>
        </w:rPr>
        <w:t xml:space="preserve">s no indicated next CD-SSB in PBCH, the UE can determine a GSCN range which has no transmitted CD-SSB based on the value of pdcch-ConfigSIB1.  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 xml:space="preserve">Observation3: </w:t>
      </w:r>
      <w:r>
        <w:rPr>
          <w:rFonts w:hint="eastAsia"/>
          <w:b/>
        </w:rPr>
        <w:tab/>
      </w:r>
      <w:r>
        <w:rPr>
          <w:rFonts w:hint="eastAsia"/>
          <w:b/>
        </w:rPr>
        <w:t>In case SIB1 is not broadcast and next CD-SSB is indicated, UE can derive the frequency location of next CD-SSB based on the frequency of current SSB and following parameters: ssb-SubcarrierOffset, pdcch-ConfigSIB1.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Necessity of reporting the next CD-SSB</w:t>
      </w:r>
    </w:p>
    <w:p>
      <w:pPr>
        <w:spacing w:before="156"/>
      </w:pPr>
      <w:r>
        <w:rPr>
          <w:rFonts w:hint="eastAsia"/>
        </w:rPr>
        <w:t>During RAN2 last meeting, when discussing the report content of ANR measurement, companies haven</w:t>
      </w:r>
      <w:r>
        <w:t>’</w:t>
      </w:r>
      <w:r>
        <w:rPr>
          <w:rFonts w:hint="eastAsia"/>
        </w:rPr>
        <w:t>t reached consensus on whether reporting the frequency location of next CD-SSB, from network</w:t>
      </w:r>
      <w:r>
        <w:t>’</w:t>
      </w:r>
      <w:r>
        <w:rPr>
          <w:rFonts w:hint="eastAsia"/>
        </w:rPr>
        <w:t xml:space="preserve">s perspective, when configuring ANR measurement with a given frequency and PCI, and failure happens due to no SIB1 </w:t>
      </w:r>
      <w:r>
        <w:t>being</w:t>
      </w:r>
      <w:r>
        <w:rPr>
          <w:rFonts w:hint="eastAsia"/>
        </w:rPr>
        <w:t xml:space="preserve"> broadcast</w:t>
      </w:r>
      <w:r>
        <w:t>;</w:t>
      </w:r>
      <w:r>
        <w:rPr>
          <w:rFonts w:hint="eastAsia"/>
        </w:rPr>
        <w:t xml:space="preserve"> it make sense to report the indicated next CD-SSB to network if UE receives that in PBCH, then network is able to configure other measurements on that frequency, and </w:t>
      </w:r>
      <w:r>
        <w:t>refine</w:t>
      </w:r>
      <w:r>
        <w:rPr>
          <w:rFonts w:hint="eastAsia"/>
        </w:rPr>
        <w:t xml:space="preserve"> the neighbour cell relations.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 xml:space="preserve">Observation4: </w:t>
      </w:r>
      <w:r>
        <w:rPr>
          <w:rFonts w:hint="eastAsia"/>
          <w:b/>
        </w:rPr>
        <w:tab/>
      </w:r>
      <w:r>
        <w:rPr>
          <w:rFonts w:hint="eastAsia"/>
          <w:b/>
        </w:rPr>
        <w:t>From network</w:t>
      </w:r>
      <w:r>
        <w:rPr>
          <w:b/>
        </w:rPr>
        <w:t>’</w:t>
      </w:r>
      <w:r>
        <w:rPr>
          <w:rFonts w:hint="eastAsia"/>
          <w:b/>
        </w:rPr>
        <w:t>s perspective, it</w:t>
      </w:r>
      <w:r>
        <w:rPr>
          <w:b/>
        </w:rPr>
        <w:t xml:space="preserve"> is</w:t>
      </w:r>
      <w:r>
        <w:rPr>
          <w:rFonts w:hint="eastAsia"/>
          <w:b/>
        </w:rPr>
        <w:t xml:space="preserve"> useful to obtain the frequency of next CD-SSB upon ANR reporting.</w:t>
      </w:r>
    </w:p>
    <w:p>
      <w:pPr>
        <w:spacing w:before="156"/>
      </w:pPr>
      <w:r>
        <w:rPr>
          <w:rFonts w:hint="eastAsia"/>
        </w:rPr>
        <w:t>As we discussed in section 2, network can differentiate case2 and case3 by the value of ssb-SubcarrierOffset, for simplicity, UE can just deliver the received ssb-SubcarrierOffset and pdcch-ConfigSIB1 to network, if UE determines that SIB1 is not broadcast. The corresponding CRs[1][2] are provided for TS36.331 and TS38.331.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>Proposal 1: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Upon ANR measurement, in case SIB1 is not broadcast, UE should include the ssb-SubcarrierOffset and pdcch-ConfigSIB1 in cgi-Info.  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>Proposal 2: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Adopt the CR R2-1809639 for TS36.331.  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>Proposal 3: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Adopt the CR R2-1809640 for TS38.331.  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 xml:space="preserve">Observation1: 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UE can derive </w:t>
      </w:r>
      <w:r>
        <w:rPr>
          <w:b/>
        </w:rPr>
        <w:t>“</w:t>
      </w:r>
      <w:r>
        <w:rPr>
          <w:rFonts w:hint="eastAsia"/>
          <w:b/>
        </w:rPr>
        <w:t>no SIB1 provided</w:t>
      </w:r>
      <w:r>
        <w:rPr>
          <w:b/>
        </w:rPr>
        <w:t>”</w:t>
      </w:r>
      <w:r>
        <w:rPr>
          <w:rFonts w:hint="eastAsia"/>
          <w:b/>
        </w:rPr>
        <w:t xml:space="preserve"> indication when the decoded </w:t>
      </w:r>
      <w:r>
        <w:rPr>
          <w:rFonts w:hint="eastAsia"/>
          <w:b/>
          <w:bCs/>
        </w:rPr>
        <w:t>k</w:t>
      </w:r>
      <w:r>
        <w:rPr>
          <w:rFonts w:hint="eastAsia"/>
          <w:b/>
          <w:bCs/>
          <w:vertAlign w:val="subscript"/>
        </w:rPr>
        <w:t>SSB</w:t>
      </w:r>
      <w:r>
        <w:rPr>
          <w:rFonts w:hint="eastAsia"/>
          <w:b/>
        </w:rPr>
        <w:t xml:space="preserve"> is larger than 23 for FR1, and larger than 11 for FR2.</w:t>
      </w:r>
    </w:p>
    <w:p>
      <w:pPr>
        <w:spacing w:before="156" w:after="156" w:afterLines="50"/>
        <w:ind w:left="1202" w:hanging="1202" w:hangingChars="570"/>
      </w:pPr>
      <w:r>
        <w:rPr>
          <w:rFonts w:hint="eastAsia"/>
          <w:b/>
        </w:rPr>
        <w:t xml:space="preserve">Observation2: 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For FR1 case, when </w:t>
      </w:r>
      <w:r>
        <w:rPr>
          <w:rFonts w:hint="eastAsia"/>
        </w:rPr>
        <w:t>k</w:t>
      </w:r>
      <w:r>
        <w:rPr>
          <w:rFonts w:hint="eastAsia"/>
          <w:vertAlign w:val="subscript"/>
        </w:rPr>
        <w:t xml:space="preserve">SSB </w:t>
      </w:r>
      <w:r>
        <w:rPr>
          <w:rFonts w:hint="eastAsia"/>
          <w:b/>
        </w:rPr>
        <w:t>is larger than 23, the 5</w:t>
      </w:r>
      <w:r>
        <w:rPr>
          <w:rFonts w:hint="eastAsia"/>
          <w:b/>
          <w:vertAlign w:val="superscript"/>
        </w:rPr>
        <w:t>th</w:t>
      </w:r>
      <w:r>
        <w:rPr>
          <w:rFonts w:hint="eastAsia"/>
          <w:b/>
        </w:rPr>
        <w:t xml:space="preserve"> significant bit of </w:t>
      </w:r>
      <w:r>
        <w:rPr>
          <w:rFonts w:hint="eastAsia"/>
        </w:rPr>
        <w:t>k</w:t>
      </w:r>
      <w:r>
        <w:rPr>
          <w:rFonts w:hint="eastAsia"/>
          <w:vertAlign w:val="subscript"/>
        </w:rPr>
        <w:t xml:space="preserve">SSB </w:t>
      </w:r>
      <w:r>
        <w:rPr>
          <w:rFonts w:hint="eastAsia"/>
          <w:b/>
        </w:rPr>
        <w:t xml:space="preserve">in PBCH payload must be </w:t>
      </w:r>
      <w:r>
        <w:rPr>
          <w:b/>
        </w:rPr>
        <w:t>‘</w:t>
      </w:r>
      <w:r>
        <w:rPr>
          <w:rFonts w:hint="eastAsia"/>
          <w:b/>
        </w:rPr>
        <w:t>1</w:t>
      </w:r>
      <w:r>
        <w:rPr>
          <w:b/>
        </w:rPr>
        <w:t>’</w:t>
      </w:r>
      <w:r>
        <w:rPr>
          <w:rFonts w:hint="eastAsia"/>
          <w:b/>
        </w:rPr>
        <w:t>.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 xml:space="preserve">Observation3: </w:t>
      </w:r>
      <w:r>
        <w:rPr>
          <w:rFonts w:hint="eastAsia"/>
          <w:b/>
        </w:rPr>
        <w:tab/>
      </w:r>
      <w:r>
        <w:rPr>
          <w:rFonts w:hint="eastAsia"/>
          <w:b/>
        </w:rPr>
        <w:t>In case SIB1 is not broadcast and next CD-SSB is indicated, UE can derive the frequency location of next CD-SSB based on the frequency of current SSB and following parameters: ssb-SubcarrierOffset, pdcch-ConfigSIB1.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 xml:space="preserve">Observation4: </w:t>
      </w:r>
      <w:r>
        <w:rPr>
          <w:rFonts w:hint="eastAsia"/>
          <w:b/>
        </w:rPr>
        <w:tab/>
      </w:r>
      <w:r>
        <w:rPr>
          <w:rFonts w:hint="eastAsia"/>
          <w:b/>
        </w:rPr>
        <w:t>From network</w:t>
      </w:r>
      <w:r>
        <w:rPr>
          <w:b/>
        </w:rPr>
        <w:t>’</w:t>
      </w:r>
      <w:r>
        <w:rPr>
          <w:rFonts w:hint="eastAsia"/>
          <w:b/>
        </w:rPr>
        <w:t>s perspective, it</w:t>
      </w:r>
      <w:r>
        <w:rPr>
          <w:b/>
        </w:rPr>
        <w:t xml:space="preserve"> i</w:t>
      </w:r>
      <w:r>
        <w:rPr>
          <w:rFonts w:hint="eastAsia"/>
          <w:b/>
        </w:rPr>
        <w:t>s useful to obtain the frequency of next CD-SSB upon ANR reporting.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>Proposal 1: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Upon ANR measurement, in case SIB1 is not broadcast, UE should include the ssb-SubcarrierOffset and pdcch-ConfigSIB1 in cgi-Info.  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>Proposal 2: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Adopt the CR R2-1809639 for TS36.331.  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>Proposal 3: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Adopt the CR R2-1809640 for TS38.331.  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Reference</w:t>
      </w:r>
    </w:p>
    <w:p>
      <w:pPr>
        <w:numPr>
          <w:ilvl w:val="0"/>
          <w:numId w:val="4"/>
        </w:numPr>
        <w:spacing w:before="156" w:after="156" w:afterLines="50"/>
        <w:rPr>
          <w:bCs/>
        </w:rPr>
      </w:pPr>
      <w:r>
        <w:rPr>
          <w:rFonts w:hint="eastAsia"/>
          <w:bCs/>
        </w:rPr>
        <w:t>R2-1809639 CR for ANR reporting in 36.331</w:t>
      </w:r>
      <w:r>
        <w:rPr>
          <w:rFonts w:hint="eastAsia"/>
          <w:bCs/>
        </w:rPr>
        <w:tab/>
      </w:r>
      <w:r>
        <w:rPr>
          <w:rFonts w:hint="eastAsia"/>
          <w:bCs/>
        </w:rPr>
        <w:tab/>
      </w:r>
      <w:r>
        <w:rPr>
          <w:rFonts w:hint="eastAsia"/>
          <w:bCs/>
        </w:rPr>
        <w:t>ZTE Corporation  DraftCR;</w:t>
      </w:r>
    </w:p>
    <w:p>
      <w:pPr>
        <w:numPr>
          <w:ilvl w:val="0"/>
          <w:numId w:val="4"/>
        </w:numPr>
        <w:spacing w:before="156" w:after="156" w:afterLines="50"/>
        <w:rPr>
          <w:bCs/>
        </w:rPr>
      </w:pPr>
      <w:r>
        <w:rPr>
          <w:rFonts w:hint="eastAsia"/>
          <w:bCs/>
        </w:rPr>
        <w:t>R2-1809640 CR for ANR related issues in 38.331</w:t>
      </w:r>
      <w:r>
        <w:rPr>
          <w:rFonts w:hint="eastAsia"/>
          <w:bCs/>
        </w:rPr>
        <w:tab/>
      </w:r>
      <w:r>
        <w:rPr>
          <w:rFonts w:hint="eastAsia"/>
          <w:bCs/>
        </w:rPr>
        <w:t>ZTE Corporation  DraftCR.</w:t>
      </w:r>
    </w:p>
    <w:p>
      <w:pPr>
        <w:pStyle w:val="2"/>
        <w:widowControl/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ind w:left="0" w:firstLine="0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Annex</w:t>
      </w:r>
    </w:p>
    <w:p>
      <w:pPr>
        <w:spacing w:before="156" w:line="240" w:lineRule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TS 38.213  Section 13</w:t>
      </w:r>
    </w:p>
    <w:p>
      <w:pPr>
        <w:spacing w:before="156" w:line="240" w:lineRule="auto"/>
      </w:pPr>
      <w:r>
        <w:t xml:space="preserve">If a UE detects a first SS/PBCH block and determines that a control resource set for Type0-PDCCH common search space is not present, and for </w:t>
      </w:r>
      <w:r>
        <w:rPr>
          <w:position w:val="-10"/>
        </w:rPr>
        <w:drawing>
          <wp:inline distT="0" distB="0" distL="114300" distR="114300">
            <wp:extent cx="762000" cy="198120"/>
            <wp:effectExtent l="0" t="0" r="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FR1 or for </w:t>
      </w:r>
      <w:r>
        <w:rPr>
          <w:position w:val="-10"/>
        </w:rPr>
        <w:drawing>
          <wp:inline distT="0" distB="0" distL="114300" distR="114300">
            <wp:extent cx="736600" cy="198120"/>
            <wp:effectExtent l="0" t="0" r="6350" b="12065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FR2, </w:t>
      </w:r>
      <w:r>
        <w:rPr>
          <w:color w:val="FF0000"/>
        </w:rPr>
        <w:t>the UE may determine the nearest</w:t>
      </w:r>
      <w:r>
        <w:t xml:space="preserve"> (in the corresponding frequency direction) </w:t>
      </w:r>
      <w:r>
        <w:rPr>
          <w:color w:val="FF0000"/>
        </w:rPr>
        <w:t xml:space="preserve">global synchronization channel number (GSCN) of a second SS/PBCH block having a control resource set for an associated Type0-PDCCH common search space as </w:t>
      </w:r>
      <w:r>
        <w:rPr>
          <w:color w:val="FF0000"/>
          <w:position w:val="-10"/>
        </w:rPr>
        <w:drawing>
          <wp:inline distT="0" distB="0" distL="114300" distR="114300">
            <wp:extent cx="889000" cy="218440"/>
            <wp:effectExtent l="0" t="0" r="6350" b="12065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>.</w:t>
      </w:r>
      <w:r>
        <w:t xml:space="preserve"> </w:t>
      </w:r>
      <w:r>
        <w:rPr>
          <w:position w:val="-10"/>
        </w:rPr>
        <w:drawing>
          <wp:inline distT="0" distB="0" distL="114300" distR="114300">
            <wp:extent cx="487680" cy="203200"/>
            <wp:effectExtent l="0" t="0" r="0" b="508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GSCN of the first SS/PBCH block and </w:t>
      </w:r>
      <w:r>
        <w:rPr>
          <w:position w:val="-10"/>
        </w:rPr>
        <w:drawing>
          <wp:inline distT="0" distB="0" distL="114300" distR="114300">
            <wp:extent cx="355600" cy="203200"/>
            <wp:effectExtent l="0" t="0" r="5715" b="5080"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GSCN offset provided by Table 13-16 for FR1 and Table 13-17 for FR2. </w:t>
      </w:r>
    </w:p>
    <w:p>
      <w:pPr>
        <w:spacing w:before="156"/>
      </w:pPr>
      <w:r>
        <w:t xml:space="preserve">If a UE detects a SS/PBCH block and determines that a control resource set for Type0-PDCCH common search space is not present, and for </w:t>
      </w:r>
      <w:r>
        <w:rPr>
          <w:position w:val="-10"/>
        </w:rPr>
        <w:drawing>
          <wp:inline distT="0" distB="0" distL="114300" distR="114300">
            <wp:extent cx="497840" cy="198120"/>
            <wp:effectExtent l="0" t="0" r="16510" b="12700"/>
            <wp:docPr id="3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FR1 or for </w:t>
      </w:r>
      <w:r>
        <w:rPr>
          <w:position w:val="-10"/>
        </w:rPr>
        <w:drawing>
          <wp:inline distT="0" distB="0" distL="114300" distR="114300">
            <wp:extent cx="497840" cy="198120"/>
            <wp:effectExtent l="0" t="0" r="16510" b="12700"/>
            <wp:docPr id="3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FR2, the UE determines that there is no SS/PBCH block having an associated Type0-PDCCH common search space within a GSCN range </w:t>
      </w:r>
      <w:r>
        <w:rPr>
          <w:position w:val="-10"/>
        </w:rPr>
        <w:drawing>
          <wp:inline distT="0" distB="0" distL="114300" distR="114300">
            <wp:extent cx="1925320" cy="203200"/>
            <wp:effectExtent l="0" t="0" r="17780" b="5080"/>
            <wp:docPr id="3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2532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</w:t>
      </w:r>
      <w:r>
        <w:rPr>
          <w:position w:val="-10"/>
        </w:rPr>
        <w:drawing>
          <wp:inline distT="0" distB="0" distL="114300" distR="114300">
            <wp:extent cx="355600" cy="203200"/>
            <wp:effectExtent l="0" t="0" r="0" b="5080"/>
            <wp:docPr id="3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and </w:t>
      </w:r>
      <w:r>
        <w:rPr>
          <w:position w:val="-10"/>
        </w:rPr>
        <w:drawing>
          <wp:inline distT="0" distB="0" distL="114300" distR="114300">
            <wp:extent cx="355600" cy="203200"/>
            <wp:effectExtent l="0" t="0" r="5715" b="5080"/>
            <wp:docPr id="3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are respectively determined by the four most significant bits and the four least significant bits </w:t>
      </w:r>
      <w:r>
        <w:rPr>
          <w:iCs/>
        </w:rPr>
        <w:t xml:space="preserve">of </w:t>
      </w:r>
      <w:r>
        <w:rPr>
          <w:i/>
          <w:iCs/>
        </w:rPr>
        <w:t>RMSI-PDCCH-Config</w:t>
      </w:r>
      <w:r>
        <w:rPr>
          <w:iCs/>
        </w:rPr>
        <w:t xml:space="preserve">. </w:t>
      </w:r>
    </w:p>
    <w:p>
      <w:pPr>
        <w:spacing w:before="0" w:beforeLines="0" w:after="0" w:line="240" w:lineRule="auto"/>
      </w:pPr>
      <w:r>
        <w:t xml:space="preserve">Table 13-16: Mapping between the combination of </w:t>
      </w:r>
      <w:r>
        <w:rPr>
          <w:position w:val="-10"/>
        </w:rPr>
        <w:drawing>
          <wp:inline distT="0" distB="0" distL="114300" distR="114300">
            <wp:extent cx="243840" cy="198120"/>
            <wp:effectExtent l="0" t="0" r="3810" b="12700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and </w:t>
      </w:r>
      <w:r>
        <w:rPr>
          <w:i/>
        </w:rPr>
        <w:t xml:space="preserve">RMSI-PDCCH-Config </w:t>
      </w:r>
      <w:r>
        <w:t xml:space="preserve">to </w:t>
      </w:r>
      <w:r>
        <w:rPr>
          <w:position w:val="-10"/>
        </w:rPr>
        <w:drawing>
          <wp:inline distT="0" distB="0" distL="114300" distR="114300">
            <wp:extent cx="355600" cy="203200"/>
            <wp:effectExtent l="0" t="0" r="5715" b="5080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FR1</w:t>
      </w:r>
    </w:p>
    <w:tbl>
      <w:tblPr>
        <w:tblStyle w:val="64"/>
        <w:tblW w:w="6820" w:type="dxa"/>
        <w:tblInd w:w="1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2325"/>
        <w:gridCol w:w="3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95" w:type="dxa"/>
            <w:tcBorders>
              <w:bottom w:val="double" w:color="auto" w:sz="4" w:space="0"/>
              <w:right w:val="double" w:color="auto" w:sz="4" w:space="0"/>
            </w:tcBorders>
            <w:shd w:val="clear" w:color="auto" w:fill="E0E0E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  <w:rPr>
                <w:b/>
              </w:rPr>
            </w:pPr>
            <w:r>
              <w:rPr>
                <w:rFonts w:ascii="Calibri" w:hAnsi="Calibri"/>
                <w:b/>
                <w:position w:val="-10"/>
                <w:sz w:val="22"/>
                <w:szCs w:val="22"/>
              </w:rPr>
              <w:drawing>
                <wp:inline distT="0" distB="0" distL="114300" distR="114300">
                  <wp:extent cx="243840" cy="198120"/>
                  <wp:effectExtent l="0" t="0" r="3810" b="1270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dxa"/>
            <w:tcBorders>
              <w:left w:val="double" w:color="auto" w:sz="4" w:space="0"/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RMSI-PDCCH-Config</w:t>
            </w:r>
          </w:p>
        </w:tc>
        <w:tc>
          <w:tcPr>
            <w:tcW w:w="3100" w:type="dxa"/>
            <w:tcBorders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  <w:rPr>
                <w:b/>
              </w:rPr>
            </w:pPr>
            <w:r>
              <w:rPr>
                <w:rFonts w:ascii="Calibri" w:hAnsi="Calibri"/>
                <w:b/>
                <w:position w:val="-10"/>
                <w:sz w:val="22"/>
                <w:szCs w:val="22"/>
              </w:rPr>
              <w:drawing>
                <wp:inline distT="0" distB="0" distL="114300" distR="114300">
                  <wp:extent cx="355600" cy="203200"/>
                  <wp:effectExtent l="0" t="0" r="5715" b="5080"/>
                  <wp:docPr id="18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20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95" w:type="dxa"/>
            <w:tcBorders>
              <w:top w:val="doub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24</w:t>
            </w:r>
          </w:p>
        </w:tc>
        <w:tc>
          <w:tcPr>
            <w:tcW w:w="2325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100" w:type="dxa"/>
            <w:tcBorders>
              <w:top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1, 2, …,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95" w:type="dxa"/>
            <w:tcBorders>
              <w:top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25</w:t>
            </w:r>
          </w:p>
        </w:tc>
        <w:tc>
          <w:tcPr>
            <w:tcW w:w="2325" w:type="dxa"/>
            <w:tcBorders>
              <w:top w:val="single" w:color="auto" w:sz="4" w:space="0"/>
              <w:left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100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257, 258, …, 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95" w:type="dxa"/>
            <w:tcBorders>
              <w:top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26</w:t>
            </w:r>
          </w:p>
        </w:tc>
        <w:tc>
          <w:tcPr>
            <w:tcW w:w="2325" w:type="dxa"/>
            <w:tcBorders>
              <w:top w:val="single" w:color="auto" w:sz="4" w:space="0"/>
              <w:left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100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513, 514, …., 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95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27</w:t>
            </w:r>
          </w:p>
        </w:tc>
        <w:tc>
          <w:tcPr>
            <w:tcW w:w="232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-1, -2, …, -256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95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28</w:t>
            </w:r>
          </w:p>
        </w:tc>
        <w:tc>
          <w:tcPr>
            <w:tcW w:w="232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-257, -258, …, -512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95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29</w:t>
            </w:r>
          </w:p>
        </w:tc>
        <w:tc>
          <w:tcPr>
            <w:tcW w:w="232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-513, -514, …., -768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95" w:type="dxa"/>
            <w:tcBorders>
              <w:top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30</w:t>
            </w:r>
          </w:p>
        </w:tc>
        <w:tc>
          <w:tcPr>
            <w:tcW w:w="2325" w:type="dxa"/>
            <w:tcBorders>
              <w:top w:val="single" w:color="auto" w:sz="4" w:space="0"/>
              <w:left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100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Reserved, Reserved, …, Reserved</w:t>
            </w:r>
          </w:p>
        </w:tc>
      </w:tr>
    </w:tbl>
    <w:p>
      <w:pPr>
        <w:spacing w:before="156" w:line="240" w:lineRule="auto"/>
      </w:pPr>
      <w:r>
        <w:t xml:space="preserve">Table 13-17: Mapping between the combination of </w:t>
      </w:r>
      <w:r>
        <w:rPr>
          <w:position w:val="-10"/>
        </w:rPr>
        <w:drawing>
          <wp:inline distT="0" distB="0" distL="114300" distR="114300">
            <wp:extent cx="243840" cy="198120"/>
            <wp:effectExtent l="0" t="0" r="3810" b="12700"/>
            <wp:docPr id="2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and </w:t>
      </w:r>
      <w:r>
        <w:rPr>
          <w:i/>
        </w:rPr>
        <w:t xml:space="preserve">RMSI-PDCCH-Config </w:t>
      </w:r>
      <w:r>
        <w:t xml:space="preserve">to </w:t>
      </w:r>
      <w:r>
        <w:rPr>
          <w:position w:val="-10"/>
        </w:rPr>
        <w:drawing>
          <wp:inline distT="0" distB="0" distL="114300" distR="114300">
            <wp:extent cx="355600" cy="203200"/>
            <wp:effectExtent l="0" t="0" r="5715" b="5080"/>
            <wp:docPr id="2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FR2</w:t>
      </w:r>
    </w:p>
    <w:tbl>
      <w:tblPr>
        <w:tblStyle w:val="64"/>
        <w:tblpPr w:leftFromText="180" w:rightFromText="180" w:vertAnchor="text" w:horzAnchor="page" w:tblpX="1813" w:tblpY="111"/>
        <w:tblOverlap w:val="never"/>
        <w:tblW w:w="68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2299"/>
        <w:gridCol w:w="3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1476" w:type="dxa"/>
            <w:tcBorders>
              <w:bottom w:val="double" w:color="auto" w:sz="4" w:space="0"/>
              <w:right w:val="double" w:color="auto" w:sz="4" w:space="0"/>
            </w:tcBorders>
            <w:shd w:val="clear" w:color="auto" w:fill="E0E0E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  <w:rPr>
                <w:b/>
              </w:rPr>
            </w:pPr>
            <w:r>
              <w:rPr>
                <w:rFonts w:ascii="Calibri" w:hAnsi="Calibri"/>
                <w:b/>
                <w:position w:val="-10"/>
                <w:sz w:val="22"/>
                <w:szCs w:val="22"/>
              </w:rPr>
              <w:drawing>
                <wp:inline distT="0" distB="0" distL="114300" distR="114300">
                  <wp:extent cx="243840" cy="198120"/>
                  <wp:effectExtent l="0" t="0" r="3810" b="12700"/>
                  <wp:docPr id="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9" w:type="dxa"/>
            <w:tcBorders>
              <w:left w:val="double" w:color="auto" w:sz="4" w:space="0"/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RMSI-PDCCH-Config</w:t>
            </w:r>
          </w:p>
        </w:tc>
        <w:tc>
          <w:tcPr>
            <w:tcW w:w="3065" w:type="dxa"/>
            <w:tcBorders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  <w:rPr>
                <w:b/>
              </w:rPr>
            </w:pPr>
            <w:r>
              <w:rPr>
                <w:rFonts w:ascii="Calibri" w:hAnsi="Calibri"/>
                <w:b/>
                <w:position w:val="-10"/>
                <w:sz w:val="22"/>
                <w:szCs w:val="22"/>
              </w:rPr>
              <w:drawing>
                <wp:inline distT="0" distB="0" distL="114300" distR="114300">
                  <wp:extent cx="355600" cy="203200"/>
                  <wp:effectExtent l="0" t="0" r="5715" b="508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20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1476" w:type="dxa"/>
            <w:tcBorders>
              <w:top w:val="doub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12</w:t>
            </w:r>
          </w:p>
        </w:tc>
        <w:tc>
          <w:tcPr>
            <w:tcW w:w="2299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065" w:type="dxa"/>
            <w:tcBorders>
              <w:top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1, 2, …,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76" w:type="dxa"/>
            <w:tcBorders>
              <w:top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13</w:t>
            </w:r>
          </w:p>
        </w:tc>
        <w:tc>
          <w:tcPr>
            <w:tcW w:w="2299" w:type="dxa"/>
            <w:tcBorders>
              <w:top w:val="single" w:color="auto" w:sz="4" w:space="0"/>
              <w:left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065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-1, -2, …, -256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1476" w:type="dxa"/>
            <w:tcBorders>
              <w:top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14</w:t>
            </w:r>
          </w:p>
        </w:tc>
        <w:tc>
          <w:tcPr>
            <w:tcW w:w="2299" w:type="dxa"/>
            <w:tcBorders>
              <w:top w:val="single" w:color="auto" w:sz="4" w:space="0"/>
              <w:left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065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Reserved, Reserved, …, Reserved</w:t>
            </w:r>
          </w:p>
        </w:tc>
      </w:tr>
    </w:tbl>
    <w:p>
      <w:pPr>
        <w:pStyle w:val="67"/>
        <w:spacing w:before="156"/>
        <w:ind w:firstLine="0" w:firstLineChars="0"/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274" w:bottom="144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spacing w:before="120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framePr w:wrap="around" w:vAnchor="text" w:hAnchor="margin" w:xAlign="right" w:y="1"/>
      <w:spacing w:before="120"/>
      <w:rPr>
        <w:rStyle w:val="58"/>
      </w:rPr>
    </w:pPr>
    <w:r>
      <w:rPr>
        <w:rStyle w:val="58"/>
      </w:rPr>
      <w:fldChar w:fldCharType="begin"/>
    </w:r>
    <w:r>
      <w:rPr>
        <w:rStyle w:val="58"/>
      </w:rPr>
      <w:instrText xml:space="preserve">PAGE  </w:instrText>
    </w:r>
    <w:r>
      <w:rPr>
        <w:rStyle w:val="58"/>
      </w:rPr>
      <w:fldChar w:fldCharType="end"/>
    </w:r>
  </w:p>
  <w:p>
    <w:pPr>
      <w:pStyle w:val="38"/>
      <w:spacing w:before="120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/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D57A4D"/>
    <w:multiLevelType w:val="singleLevel"/>
    <w:tmpl w:val="BBD57A4D"/>
    <w:lvl w:ilvl="0" w:tentative="0">
      <w:start w:val="1"/>
      <w:numFmt w:val="decimal"/>
      <w:suff w:val="space"/>
      <w:lvlText w:val="[%1]"/>
      <w:lvlJc w:val="left"/>
      <w:pPr>
        <w:ind w:left="105" w:firstLine="0"/>
      </w:pPr>
    </w:lvl>
  </w:abstractNum>
  <w:abstractNum w:abstractNumId="1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70E4796"/>
    <w:multiLevelType w:val="multilevel"/>
    <w:tmpl w:val="070E4796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5101505E"/>
    <w:multiLevelType w:val="multilevel"/>
    <w:tmpl w:val="5101505E"/>
    <w:lvl w:ilvl="0" w:tentative="0">
      <w:start w:val="1"/>
      <w:numFmt w:val="decimal"/>
      <w:pStyle w:val="27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103E7"/>
    <w:rsid w:val="00013FAD"/>
    <w:rsid w:val="00017BA5"/>
    <w:rsid w:val="00021259"/>
    <w:rsid w:val="00021359"/>
    <w:rsid w:val="000248FC"/>
    <w:rsid w:val="0002660A"/>
    <w:rsid w:val="00026899"/>
    <w:rsid w:val="0002698B"/>
    <w:rsid w:val="00035EF9"/>
    <w:rsid w:val="00037973"/>
    <w:rsid w:val="00040A63"/>
    <w:rsid w:val="0004105F"/>
    <w:rsid w:val="00042E6F"/>
    <w:rsid w:val="00043923"/>
    <w:rsid w:val="000439F7"/>
    <w:rsid w:val="000563ED"/>
    <w:rsid w:val="0007093A"/>
    <w:rsid w:val="0007205B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204F"/>
    <w:rsid w:val="000A2A28"/>
    <w:rsid w:val="000A2D0A"/>
    <w:rsid w:val="000A3A4E"/>
    <w:rsid w:val="000A53F5"/>
    <w:rsid w:val="000B21DA"/>
    <w:rsid w:val="000B25A2"/>
    <w:rsid w:val="000B31AA"/>
    <w:rsid w:val="000B38F6"/>
    <w:rsid w:val="000B4B76"/>
    <w:rsid w:val="000B65CB"/>
    <w:rsid w:val="000B780E"/>
    <w:rsid w:val="000C2690"/>
    <w:rsid w:val="000C364E"/>
    <w:rsid w:val="000C5D4C"/>
    <w:rsid w:val="000C7FC7"/>
    <w:rsid w:val="000D18C5"/>
    <w:rsid w:val="000D2BF9"/>
    <w:rsid w:val="000E1125"/>
    <w:rsid w:val="000E1993"/>
    <w:rsid w:val="000E3B8A"/>
    <w:rsid w:val="000F0A7B"/>
    <w:rsid w:val="00100030"/>
    <w:rsid w:val="00111C96"/>
    <w:rsid w:val="00111CE0"/>
    <w:rsid w:val="00111DF0"/>
    <w:rsid w:val="001135C5"/>
    <w:rsid w:val="001147C0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60A40"/>
    <w:rsid w:val="001627D9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E0341"/>
    <w:rsid w:val="001E1C36"/>
    <w:rsid w:val="001E3D8C"/>
    <w:rsid w:val="001E43EF"/>
    <w:rsid w:val="001E44CD"/>
    <w:rsid w:val="001E6F40"/>
    <w:rsid w:val="001F3DF5"/>
    <w:rsid w:val="001F4346"/>
    <w:rsid w:val="00201FFE"/>
    <w:rsid w:val="00202C4B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2518"/>
    <w:rsid w:val="00270A1C"/>
    <w:rsid w:val="00271ED8"/>
    <w:rsid w:val="002730ED"/>
    <w:rsid w:val="00275BC1"/>
    <w:rsid w:val="00281718"/>
    <w:rsid w:val="002855D0"/>
    <w:rsid w:val="00290E18"/>
    <w:rsid w:val="00291D54"/>
    <w:rsid w:val="00296690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1163"/>
    <w:rsid w:val="002F3161"/>
    <w:rsid w:val="002F5517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A150D"/>
    <w:rsid w:val="003A2A06"/>
    <w:rsid w:val="003A3ACC"/>
    <w:rsid w:val="003A4C78"/>
    <w:rsid w:val="003A552B"/>
    <w:rsid w:val="003B132E"/>
    <w:rsid w:val="003B139B"/>
    <w:rsid w:val="003B3A50"/>
    <w:rsid w:val="003B448B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2B05"/>
    <w:rsid w:val="004B2BBA"/>
    <w:rsid w:val="004B71F4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214BE"/>
    <w:rsid w:val="005219AA"/>
    <w:rsid w:val="00522736"/>
    <w:rsid w:val="00525585"/>
    <w:rsid w:val="0052657B"/>
    <w:rsid w:val="00534869"/>
    <w:rsid w:val="005371D2"/>
    <w:rsid w:val="00537528"/>
    <w:rsid w:val="00542ED7"/>
    <w:rsid w:val="00545A76"/>
    <w:rsid w:val="005506C7"/>
    <w:rsid w:val="005514AA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D57F1"/>
    <w:rsid w:val="005D680C"/>
    <w:rsid w:val="005E06D3"/>
    <w:rsid w:val="005E27C0"/>
    <w:rsid w:val="005E4F1C"/>
    <w:rsid w:val="005F097D"/>
    <w:rsid w:val="005F1004"/>
    <w:rsid w:val="005F1FAE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517C3"/>
    <w:rsid w:val="00751F2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7A57"/>
    <w:rsid w:val="00787B7D"/>
    <w:rsid w:val="00792D48"/>
    <w:rsid w:val="00793203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5D4"/>
    <w:rsid w:val="00823AF8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60FE6"/>
    <w:rsid w:val="00864D17"/>
    <w:rsid w:val="008719DB"/>
    <w:rsid w:val="00872250"/>
    <w:rsid w:val="008731B8"/>
    <w:rsid w:val="00873D16"/>
    <w:rsid w:val="00880F6C"/>
    <w:rsid w:val="008855E2"/>
    <w:rsid w:val="00886521"/>
    <w:rsid w:val="008937A3"/>
    <w:rsid w:val="0089509A"/>
    <w:rsid w:val="008A4FE1"/>
    <w:rsid w:val="008A5E28"/>
    <w:rsid w:val="008B4198"/>
    <w:rsid w:val="008B4609"/>
    <w:rsid w:val="008B725C"/>
    <w:rsid w:val="008C1D6D"/>
    <w:rsid w:val="008C3F98"/>
    <w:rsid w:val="008D1DAC"/>
    <w:rsid w:val="008D23AF"/>
    <w:rsid w:val="008D3A05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7271"/>
    <w:rsid w:val="00922A9F"/>
    <w:rsid w:val="00925478"/>
    <w:rsid w:val="00925A8F"/>
    <w:rsid w:val="00925D8E"/>
    <w:rsid w:val="009269F5"/>
    <w:rsid w:val="00930CAD"/>
    <w:rsid w:val="009400CF"/>
    <w:rsid w:val="00940533"/>
    <w:rsid w:val="009432FE"/>
    <w:rsid w:val="009438F8"/>
    <w:rsid w:val="00944414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71DDC"/>
    <w:rsid w:val="009739F5"/>
    <w:rsid w:val="009755AD"/>
    <w:rsid w:val="009757E0"/>
    <w:rsid w:val="0097718E"/>
    <w:rsid w:val="009800B6"/>
    <w:rsid w:val="00985DB7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D159F"/>
    <w:rsid w:val="009D1912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A00E96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42B8"/>
    <w:rsid w:val="00A54719"/>
    <w:rsid w:val="00A612B9"/>
    <w:rsid w:val="00A66B14"/>
    <w:rsid w:val="00A66CF8"/>
    <w:rsid w:val="00A727DA"/>
    <w:rsid w:val="00A74F48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2666"/>
    <w:rsid w:val="00B126DA"/>
    <w:rsid w:val="00B15903"/>
    <w:rsid w:val="00B166C8"/>
    <w:rsid w:val="00B23604"/>
    <w:rsid w:val="00B2566A"/>
    <w:rsid w:val="00B41694"/>
    <w:rsid w:val="00B425D5"/>
    <w:rsid w:val="00B427B9"/>
    <w:rsid w:val="00B43371"/>
    <w:rsid w:val="00B44CA2"/>
    <w:rsid w:val="00B454AE"/>
    <w:rsid w:val="00B52464"/>
    <w:rsid w:val="00B55453"/>
    <w:rsid w:val="00B55CF3"/>
    <w:rsid w:val="00B670CE"/>
    <w:rsid w:val="00B67B79"/>
    <w:rsid w:val="00B67E74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902"/>
    <w:rsid w:val="00BE42CB"/>
    <w:rsid w:val="00BE6162"/>
    <w:rsid w:val="00BE6C9C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622"/>
    <w:rsid w:val="00C54982"/>
    <w:rsid w:val="00C54B46"/>
    <w:rsid w:val="00C55B71"/>
    <w:rsid w:val="00C621A1"/>
    <w:rsid w:val="00C63153"/>
    <w:rsid w:val="00C63CB8"/>
    <w:rsid w:val="00C65327"/>
    <w:rsid w:val="00C67382"/>
    <w:rsid w:val="00C72471"/>
    <w:rsid w:val="00C8086B"/>
    <w:rsid w:val="00C82D97"/>
    <w:rsid w:val="00C84D14"/>
    <w:rsid w:val="00C9369C"/>
    <w:rsid w:val="00C93EDD"/>
    <w:rsid w:val="00C953EF"/>
    <w:rsid w:val="00C953F6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44FE"/>
    <w:rsid w:val="00D5596F"/>
    <w:rsid w:val="00D56F3F"/>
    <w:rsid w:val="00D61F13"/>
    <w:rsid w:val="00D672D6"/>
    <w:rsid w:val="00D67D4A"/>
    <w:rsid w:val="00D70B9D"/>
    <w:rsid w:val="00D72B46"/>
    <w:rsid w:val="00D75D2E"/>
    <w:rsid w:val="00D806A3"/>
    <w:rsid w:val="00D81BAC"/>
    <w:rsid w:val="00D83149"/>
    <w:rsid w:val="00D83173"/>
    <w:rsid w:val="00D8380A"/>
    <w:rsid w:val="00D85273"/>
    <w:rsid w:val="00D90CC5"/>
    <w:rsid w:val="00D92C6A"/>
    <w:rsid w:val="00DA12AB"/>
    <w:rsid w:val="00DB3689"/>
    <w:rsid w:val="00DB3767"/>
    <w:rsid w:val="00DB39E0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62790"/>
    <w:rsid w:val="00E62B3D"/>
    <w:rsid w:val="00E6315A"/>
    <w:rsid w:val="00E65E86"/>
    <w:rsid w:val="00E71B00"/>
    <w:rsid w:val="00E73C7F"/>
    <w:rsid w:val="00E740D9"/>
    <w:rsid w:val="00E8224F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4324"/>
    <w:rsid w:val="00EB6B41"/>
    <w:rsid w:val="00EC1D1E"/>
    <w:rsid w:val="00EC465B"/>
    <w:rsid w:val="00EC5A04"/>
    <w:rsid w:val="00EC7D8F"/>
    <w:rsid w:val="00EC7E1A"/>
    <w:rsid w:val="00ED09F7"/>
    <w:rsid w:val="00ED0F55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25BEF"/>
    <w:rsid w:val="00F270BA"/>
    <w:rsid w:val="00F308AF"/>
    <w:rsid w:val="00F32911"/>
    <w:rsid w:val="00F337F8"/>
    <w:rsid w:val="00F3464D"/>
    <w:rsid w:val="00F36774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2E89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83593"/>
    <w:rsid w:val="00F837F7"/>
    <w:rsid w:val="00F90E30"/>
    <w:rsid w:val="00F917E4"/>
    <w:rsid w:val="00F91B00"/>
    <w:rsid w:val="00F9424D"/>
    <w:rsid w:val="00F94DFC"/>
    <w:rsid w:val="00F96BAD"/>
    <w:rsid w:val="00FA34B5"/>
    <w:rsid w:val="00FB0158"/>
    <w:rsid w:val="00FB16BC"/>
    <w:rsid w:val="00FB25A0"/>
    <w:rsid w:val="00FB2D7C"/>
    <w:rsid w:val="00FB4F37"/>
    <w:rsid w:val="00FB79F1"/>
    <w:rsid w:val="00FB7E5A"/>
    <w:rsid w:val="00FC6E54"/>
    <w:rsid w:val="00FD33A2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33F4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771801"/>
    <w:rsid w:val="07825B13"/>
    <w:rsid w:val="07864148"/>
    <w:rsid w:val="07AE0C6B"/>
    <w:rsid w:val="07CE088B"/>
    <w:rsid w:val="085636D7"/>
    <w:rsid w:val="08B665B2"/>
    <w:rsid w:val="09F42949"/>
    <w:rsid w:val="0ADA27AB"/>
    <w:rsid w:val="0B233C4C"/>
    <w:rsid w:val="0B8E6116"/>
    <w:rsid w:val="0C085429"/>
    <w:rsid w:val="0CB302D0"/>
    <w:rsid w:val="0CD63978"/>
    <w:rsid w:val="0CFF2AF0"/>
    <w:rsid w:val="0D903FA1"/>
    <w:rsid w:val="0D9F789E"/>
    <w:rsid w:val="0E6675E9"/>
    <w:rsid w:val="0E7304E4"/>
    <w:rsid w:val="0F0670A0"/>
    <w:rsid w:val="0F117F9B"/>
    <w:rsid w:val="0F292443"/>
    <w:rsid w:val="0FDD0A05"/>
    <w:rsid w:val="0FF22E1E"/>
    <w:rsid w:val="10D00944"/>
    <w:rsid w:val="10E66856"/>
    <w:rsid w:val="121151DD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91B3FEB"/>
    <w:rsid w:val="19B53C17"/>
    <w:rsid w:val="19B84071"/>
    <w:rsid w:val="19D81B97"/>
    <w:rsid w:val="19DD310A"/>
    <w:rsid w:val="1A5646A0"/>
    <w:rsid w:val="1B1962E0"/>
    <w:rsid w:val="1B6E36D8"/>
    <w:rsid w:val="1BFE2EE5"/>
    <w:rsid w:val="1C687840"/>
    <w:rsid w:val="1CBC410B"/>
    <w:rsid w:val="1CFD6B5F"/>
    <w:rsid w:val="1D60281E"/>
    <w:rsid w:val="1E9373AE"/>
    <w:rsid w:val="1F7230F8"/>
    <w:rsid w:val="20582F06"/>
    <w:rsid w:val="205A1B67"/>
    <w:rsid w:val="211A1954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B257241"/>
    <w:rsid w:val="2C1057E5"/>
    <w:rsid w:val="2CC87E6F"/>
    <w:rsid w:val="2CE60D81"/>
    <w:rsid w:val="2DA64CFE"/>
    <w:rsid w:val="2E9A0203"/>
    <w:rsid w:val="2E9C3162"/>
    <w:rsid w:val="2EAC79D3"/>
    <w:rsid w:val="2F10116D"/>
    <w:rsid w:val="2F1078C3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13A1483"/>
    <w:rsid w:val="42241D93"/>
    <w:rsid w:val="43075B38"/>
    <w:rsid w:val="432C35DA"/>
    <w:rsid w:val="444F0F50"/>
    <w:rsid w:val="445F34EB"/>
    <w:rsid w:val="44807771"/>
    <w:rsid w:val="44B3345F"/>
    <w:rsid w:val="44C70D28"/>
    <w:rsid w:val="44CA5ED0"/>
    <w:rsid w:val="44F84F89"/>
    <w:rsid w:val="464C7438"/>
    <w:rsid w:val="465002DF"/>
    <w:rsid w:val="47BA7497"/>
    <w:rsid w:val="47C90932"/>
    <w:rsid w:val="47CC43E5"/>
    <w:rsid w:val="480313B7"/>
    <w:rsid w:val="48A615D1"/>
    <w:rsid w:val="49E06BA9"/>
    <w:rsid w:val="4A6B42BA"/>
    <w:rsid w:val="4A78750E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505D60F8"/>
    <w:rsid w:val="509E51F9"/>
    <w:rsid w:val="50DC5240"/>
    <w:rsid w:val="513A38F8"/>
    <w:rsid w:val="518642B9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D415F4"/>
    <w:rsid w:val="56E91F0E"/>
    <w:rsid w:val="57006206"/>
    <w:rsid w:val="570944D3"/>
    <w:rsid w:val="572B6F10"/>
    <w:rsid w:val="575007FA"/>
    <w:rsid w:val="57CC2AB5"/>
    <w:rsid w:val="58220522"/>
    <w:rsid w:val="588B6889"/>
    <w:rsid w:val="598F4BEC"/>
    <w:rsid w:val="599D4276"/>
    <w:rsid w:val="59F41719"/>
    <w:rsid w:val="5A3568A9"/>
    <w:rsid w:val="5A546117"/>
    <w:rsid w:val="5A914854"/>
    <w:rsid w:val="5A981FA2"/>
    <w:rsid w:val="5B9D3D8A"/>
    <w:rsid w:val="5BAC7B59"/>
    <w:rsid w:val="5CC919BB"/>
    <w:rsid w:val="5CFE3025"/>
    <w:rsid w:val="5D53372E"/>
    <w:rsid w:val="5DBB697B"/>
    <w:rsid w:val="5E195987"/>
    <w:rsid w:val="5FD536BC"/>
    <w:rsid w:val="604F5B72"/>
    <w:rsid w:val="60755D7F"/>
    <w:rsid w:val="61084ACE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F93924"/>
    <w:rsid w:val="69514322"/>
    <w:rsid w:val="69797C2C"/>
    <w:rsid w:val="69CB3D72"/>
    <w:rsid w:val="69D04AC7"/>
    <w:rsid w:val="6A2D32EF"/>
    <w:rsid w:val="6A667D8E"/>
    <w:rsid w:val="6B095FA5"/>
    <w:rsid w:val="6B5758E6"/>
    <w:rsid w:val="6C272137"/>
    <w:rsid w:val="6CA14A31"/>
    <w:rsid w:val="6CA73C88"/>
    <w:rsid w:val="6CA87341"/>
    <w:rsid w:val="6CD616AD"/>
    <w:rsid w:val="6D1B16C6"/>
    <w:rsid w:val="6D624BE1"/>
    <w:rsid w:val="6E6A6492"/>
    <w:rsid w:val="6EF90FB6"/>
    <w:rsid w:val="6F372F1E"/>
    <w:rsid w:val="6F424DC6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5F52EF"/>
    <w:rsid w:val="738D7669"/>
    <w:rsid w:val="73C86FC2"/>
    <w:rsid w:val="74BE6C32"/>
    <w:rsid w:val="750B18BC"/>
    <w:rsid w:val="758E056D"/>
    <w:rsid w:val="759A5A96"/>
    <w:rsid w:val="761E6675"/>
    <w:rsid w:val="76461F12"/>
    <w:rsid w:val="765014FD"/>
    <w:rsid w:val="765123BD"/>
    <w:rsid w:val="7696035D"/>
    <w:rsid w:val="76A01073"/>
    <w:rsid w:val="76C36392"/>
    <w:rsid w:val="76DD7FE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EB4CF5"/>
    <w:rsid w:val="7D093ADB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50" w:beforeLines="50" w:after="160" w:line="259" w:lineRule="auto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9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3">
    <w:name w:val="heading 2"/>
    <w:basedOn w:val="2"/>
    <w:next w:val="1"/>
    <w:link w:val="70"/>
    <w:qFormat/>
    <w:uiPriority w:val="0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hAnsi="Arial" w:eastAsia="MS Mincho"/>
      <w:b w:val="0"/>
      <w:bCs w:val="0"/>
      <w:kern w:val="0"/>
      <w:sz w:val="32"/>
      <w:szCs w:val="32"/>
      <w:lang w:val="en-GB"/>
    </w:rPr>
  </w:style>
  <w:style w:type="paragraph" w:styleId="4">
    <w:name w:val="heading 3"/>
    <w:basedOn w:val="3"/>
    <w:next w:val="1"/>
    <w:link w:val="71"/>
    <w:qFormat/>
    <w:uiPriority w:val="0"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5">
    <w:name w:val="heading 4"/>
    <w:basedOn w:val="4"/>
    <w:next w:val="1"/>
    <w:link w:val="72"/>
    <w:qFormat/>
    <w:uiPriority w:val="0"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6">
    <w:name w:val="heading 5"/>
    <w:basedOn w:val="5"/>
    <w:next w:val="1"/>
    <w:link w:val="73"/>
    <w:qFormat/>
    <w:uiPriority w:val="0"/>
    <w:pPr>
      <w:tabs>
        <w:tab w:val="left" w:pos="1008"/>
        <w:tab w:val="left" w:pos="2383"/>
        <w:tab w:val="clear" w:pos="864"/>
        <w:tab w:val="clear" w:pos="2071"/>
      </w:tabs>
      <w:ind w:left="2196"/>
      <w:outlineLvl w:val="4"/>
    </w:pPr>
  </w:style>
  <w:style w:type="paragraph" w:styleId="7">
    <w:name w:val="heading 6"/>
    <w:basedOn w:val="1"/>
    <w:next w:val="1"/>
    <w:link w:val="74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link w:val="75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6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77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hAnsi="Arial" w:eastAsia="黑体"/>
    </w:rPr>
  </w:style>
  <w:style w:type="character" w:default="1" w:styleId="56">
    <w:name w:val="Default Paragraph Font"/>
    <w:semiHidden/>
    <w:unhideWhenUsed/>
    <w:uiPriority w:val="1"/>
  </w:style>
  <w:style w:type="table" w:default="1" w:styleId="6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/>
      <w:spacing w:before="40"/>
      <w:ind w:left="849" w:hanging="283"/>
      <w:contextualSpacing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2">
    <w:name w:val="annotation subject"/>
    <w:basedOn w:val="13"/>
    <w:next w:val="13"/>
    <w:link w:val="91"/>
    <w:semiHidden/>
    <w:qFormat/>
    <w:uiPriority w:val="0"/>
    <w:pPr>
      <w:widowControl/>
      <w:spacing w:before="40"/>
    </w:pPr>
    <w:rPr>
      <w:rFonts w:ascii="Arial" w:hAnsi="Arial" w:eastAsia="MS Mincho"/>
      <w:b/>
      <w:bCs/>
      <w:kern w:val="0"/>
      <w:sz w:val="20"/>
      <w:szCs w:val="20"/>
      <w:lang w:val="en-GB" w:eastAsia="en-GB"/>
    </w:rPr>
  </w:style>
  <w:style w:type="paragraph" w:styleId="13">
    <w:name w:val="annotation text"/>
    <w:basedOn w:val="1"/>
    <w:link w:val="175"/>
    <w:unhideWhenUsed/>
    <w:qFormat/>
    <w:uiPriority w:val="0"/>
    <w:pPr>
      <w:jc w:val="left"/>
    </w:pPr>
  </w:style>
  <w:style w:type="paragraph" w:styleId="14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5">
    <w:name w:val="List Number 2"/>
    <w:basedOn w:val="16"/>
    <w:qFormat/>
    <w:uiPriority w:val="0"/>
    <w:pPr>
      <w:ind w:left="851"/>
    </w:pPr>
  </w:style>
  <w:style w:type="paragraph" w:styleId="16">
    <w:name w:val="List Number"/>
    <w:basedOn w:val="17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17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8">
    <w:name w:val="List Bullet 4"/>
    <w:basedOn w:val="19"/>
    <w:qFormat/>
    <w:uiPriority w:val="0"/>
    <w:pPr>
      <w:tabs>
        <w:tab w:val="left" w:pos="360"/>
        <w:tab w:val="left" w:pos="1259"/>
      </w:tabs>
      <w:ind w:left="1418"/>
    </w:pPr>
  </w:style>
  <w:style w:type="paragraph" w:styleId="19">
    <w:name w:val="List Bullet 3"/>
    <w:basedOn w:val="20"/>
    <w:qFormat/>
    <w:uiPriority w:val="0"/>
    <w:pPr>
      <w:tabs>
        <w:tab w:val="left" w:pos="360"/>
        <w:tab w:val="left" w:pos="1259"/>
      </w:tabs>
      <w:ind w:left="1135"/>
    </w:pPr>
  </w:style>
  <w:style w:type="paragraph" w:styleId="20">
    <w:name w:val="List Bullet 2"/>
    <w:basedOn w:val="21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21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2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3">
    <w:name w:val="caption"/>
    <w:basedOn w:val="1"/>
    <w:next w:val="1"/>
    <w:link w:val="89"/>
    <w:qFormat/>
    <w:uiPriority w:val="0"/>
    <w:pPr>
      <w:spacing w:before="152"/>
    </w:pPr>
    <w:rPr>
      <w:rFonts w:ascii="Arial" w:hAnsi="Arial" w:eastAsia="黑体" w:cs="Arial"/>
      <w:sz w:val="20"/>
      <w:szCs w:val="20"/>
    </w:rPr>
  </w:style>
  <w:style w:type="paragraph" w:styleId="24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5">
    <w:name w:val="Document Map"/>
    <w:basedOn w:val="1"/>
    <w:link w:val="68"/>
    <w:unhideWhenUsed/>
    <w:qFormat/>
    <w:uiPriority w:val="0"/>
    <w:rPr>
      <w:rFonts w:ascii="宋体"/>
      <w:sz w:val="18"/>
      <w:szCs w:val="18"/>
    </w:rPr>
  </w:style>
  <w:style w:type="paragraph" w:styleId="26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7">
    <w:name w:val="Body Text"/>
    <w:basedOn w:val="1"/>
    <w:link w:val="124"/>
    <w:qFormat/>
    <w:uiPriority w:val="0"/>
    <w:pPr>
      <w:widowControl/>
      <w:spacing w:before="40" w:after="12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8">
    <w:name w:val="List 2"/>
    <w:basedOn w:val="1"/>
    <w:unhideWhenUsed/>
    <w:qFormat/>
    <w:uiPriority w:val="0"/>
    <w:pPr>
      <w:ind w:left="100" w:leftChars="200" w:hanging="200" w:hangingChars="200"/>
      <w:contextualSpacing/>
    </w:pPr>
  </w:style>
  <w:style w:type="paragraph" w:styleId="29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30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1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2">
    <w:name w:val="Plain Text"/>
    <w:basedOn w:val="1"/>
    <w:link w:val="116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3">
    <w:name w:val="List Bullet 5"/>
    <w:basedOn w:val="18"/>
    <w:qFormat/>
    <w:uiPriority w:val="0"/>
    <w:pPr>
      <w:ind w:left="1702"/>
    </w:pPr>
  </w:style>
  <w:style w:type="paragraph" w:styleId="34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5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6">
    <w:name w:val="endnote text"/>
    <w:basedOn w:val="1"/>
    <w:link w:val="192"/>
    <w:qFormat/>
    <w:uiPriority w:val="0"/>
    <w:pPr>
      <w:snapToGrid w:val="0"/>
      <w:jc w:val="left"/>
    </w:pPr>
  </w:style>
  <w:style w:type="paragraph" w:styleId="37">
    <w:name w:val="Balloon Text"/>
    <w:basedOn w:val="1"/>
    <w:link w:val="66"/>
    <w:unhideWhenUsed/>
    <w:qFormat/>
    <w:uiPriority w:val="0"/>
    <w:rPr>
      <w:sz w:val="18"/>
      <w:szCs w:val="18"/>
    </w:rPr>
  </w:style>
  <w:style w:type="paragraph" w:styleId="38">
    <w:name w:val="footer"/>
    <w:basedOn w:val="1"/>
    <w:link w:val="1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9">
    <w:name w:val="header"/>
    <w:basedOn w:val="1"/>
    <w:link w:val="12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1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2">
    <w:name w:val="index heading"/>
    <w:basedOn w:val="1"/>
    <w:next w:val="43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3">
    <w:name w:val="index 1"/>
    <w:basedOn w:val="1"/>
    <w:next w:val="44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4">
    <w:name w:val="段"/>
    <w:link w:val="101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5">
    <w:name w:val="footnote text"/>
    <w:basedOn w:val="1"/>
    <w:link w:val="149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6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7">
    <w:name w:val="List 5"/>
    <w:basedOn w:val="48"/>
    <w:qFormat/>
    <w:uiPriority w:val="0"/>
    <w:pPr>
      <w:ind w:left="1702"/>
    </w:pPr>
  </w:style>
  <w:style w:type="paragraph" w:styleId="48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9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50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1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52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3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5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57">
    <w:name w:val="endnote reference"/>
    <w:basedOn w:val="56"/>
    <w:qFormat/>
    <w:uiPriority w:val="0"/>
    <w:rPr>
      <w:vertAlign w:val="superscript"/>
    </w:rPr>
  </w:style>
  <w:style w:type="character" w:styleId="58">
    <w:name w:val="page number"/>
    <w:basedOn w:val="56"/>
    <w:qFormat/>
    <w:uiPriority w:val="0"/>
  </w:style>
  <w:style w:type="character" w:styleId="59">
    <w:name w:val="FollowedHyperlink"/>
    <w:basedOn w:val="56"/>
    <w:qFormat/>
    <w:uiPriority w:val="0"/>
    <w:rPr>
      <w:color w:val="800080"/>
      <w:u w:val="single"/>
    </w:rPr>
  </w:style>
  <w:style w:type="character" w:styleId="60">
    <w:name w:val="Emphasis"/>
    <w:qFormat/>
    <w:uiPriority w:val="0"/>
    <w:rPr>
      <w:i/>
      <w:iCs/>
    </w:rPr>
  </w:style>
  <w:style w:type="character" w:styleId="61">
    <w:name w:val="Hyperlink"/>
    <w:basedOn w:val="56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2">
    <w:name w:val="annotation reference"/>
    <w:qFormat/>
    <w:uiPriority w:val="0"/>
    <w:rPr>
      <w:sz w:val="16"/>
    </w:rPr>
  </w:style>
  <w:style w:type="character" w:styleId="63">
    <w:name w:val="footnote reference"/>
    <w:basedOn w:val="56"/>
    <w:qFormat/>
    <w:uiPriority w:val="0"/>
    <w:rPr>
      <w:vertAlign w:val="superscript"/>
    </w:rPr>
  </w:style>
  <w:style w:type="table" w:styleId="65">
    <w:name w:val="Table Grid"/>
    <w:basedOn w:val="64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6">
    <w:name w:val="Balloon Text Char"/>
    <w:basedOn w:val="56"/>
    <w:link w:val="37"/>
    <w:qFormat/>
    <w:uiPriority w:val="0"/>
    <w:rPr>
      <w:kern w:val="2"/>
      <w:sz w:val="18"/>
      <w:szCs w:val="18"/>
    </w:rPr>
  </w:style>
  <w:style w:type="paragraph" w:customStyle="1" w:styleId="67">
    <w:name w:val="List Paragraph1"/>
    <w:basedOn w:val="1"/>
    <w:link w:val="272"/>
    <w:unhideWhenUsed/>
    <w:qFormat/>
    <w:uiPriority w:val="99"/>
    <w:pPr>
      <w:ind w:firstLine="420" w:firstLineChars="200"/>
    </w:pPr>
  </w:style>
  <w:style w:type="character" w:customStyle="1" w:styleId="68">
    <w:name w:val="Document Map Char"/>
    <w:basedOn w:val="56"/>
    <w:link w:val="25"/>
    <w:qFormat/>
    <w:uiPriority w:val="0"/>
    <w:rPr>
      <w:rFonts w:ascii="宋体"/>
      <w:kern w:val="2"/>
      <w:sz w:val="18"/>
      <w:szCs w:val="18"/>
    </w:rPr>
  </w:style>
  <w:style w:type="character" w:customStyle="1" w:styleId="69">
    <w:name w:val="Heading 1 Char"/>
    <w:basedOn w:val="56"/>
    <w:link w:val="2"/>
    <w:qFormat/>
    <w:uiPriority w:val="0"/>
    <w:rPr>
      <w:rFonts w:eastAsiaTheme="minorEastAsia"/>
      <w:b/>
      <w:bCs/>
      <w:kern w:val="44"/>
      <w:sz w:val="30"/>
      <w:szCs w:val="44"/>
    </w:rPr>
  </w:style>
  <w:style w:type="character" w:customStyle="1" w:styleId="70">
    <w:name w:val="Heading 2 Char"/>
    <w:basedOn w:val="56"/>
    <w:link w:val="3"/>
    <w:qFormat/>
    <w:uiPriority w:val="0"/>
    <w:rPr>
      <w:rFonts w:ascii="Arial" w:hAnsi="Arial" w:eastAsia="MS Mincho"/>
      <w:sz w:val="32"/>
      <w:szCs w:val="32"/>
      <w:lang w:val="en-GB"/>
    </w:rPr>
  </w:style>
  <w:style w:type="character" w:customStyle="1" w:styleId="71">
    <w:name w:val="Heading 3 Char"/>
    <w:basedOn w:val="56"/>
    <w:link w:val="4"/>
    <w:qFormat/>
    <w:uiPriority w:val="0"/>
    <w:rPr>
      <w:b/>
      <w:bCs/>
      <w:kern w:val="2"/>
      <w:sz w:val="32"/>
      <w:szCs w:val="32"/>
    </w:rPr>
  </w:style>
  <w:style w:type="character" w:customStyle="1" w:styleId="72">
    <w:name w:val="Heading 4 Char"/>
    <w:basedOn w:val="56"/>
    <w:link w:val="5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3">
    <w:name w:val="Heading 5 Char"/>
    <w:basedOn w:val="56"/>
    <w:link w:val="6"/>
    <w:qFormat/>
    <w:uiPriority w:val="0"/>
    <w:rPr>
      <w:b/>
      <w:kern w:val="2"/>
      <w:sz w:val="28"/>
      <w:szCs w:val="24"/>
    </w:rPr>
  </w:style>
  <w:style w:type="character" w:customStyle="1" w:styleId="74">
    <w:name w:val="Heading 6 Char"/>
    <w:basedOn w:val="56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5">
    <w:name w:val="Heading 7 Char"/>
    <w:basedOn w:val="56"/>
    <w:link w:val="8"/>
    <w:qFormat/>
    <w:uiPriority w:val="0"/>
    <w:rPr>
      <w:b/>
      <w:kern w:val="2"/>
      <w:sz w:val="24"/>
      <w:szCs w:val="24"/>
    </w:rPr>
  </w:style>
  <w:style w:type="character" w:customStyle="1" w:styleId="76">
    <w:name w:val="Heading 8 Char"/>
    <w:basedOn w:val="56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7">
    <w:name w:val="Heading 9 Char"/>
    <w:basedOn w:val="56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78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79">
    <w:name w:val="ComeBack Char Char"/>
    <w:basedOn w:val="80"/>
    <w:link w:val="81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0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1">
    <w:name w:val="ComeBack"/>
    <w:basedOn w:val="82"/>
    <w:next w:val="82"/>
    <w:link w:val="79"/>
    <w:qFormat/>
    <w:uiPriority w:val="0"/>
    <w:pPr>
      <w:tabs>
        <w:tab w:val="left" w:pos="1259"/>
        <w:tab w:val="left" w:pos="1622"/>
      </w:tabs>
      <w:ind w:left="1619" w:hanging="360"/>
    </w:pPr>
  </w:style>
  <w:style w:type="paragraph" w:customStyle="1" w:styleId="82">
    <w:name w:val="Doc-text2"/>
    <w:basedOn w:val="1"/>
    <w:link w:val="130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3">
    <w:name w:val="Bold Comments Char"/>
    <w:link w:val="84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4">
    <w:name w:val="Bold Comments"/>
    <w:basedOn w:val="85"/>
    <w:link w:val="83"/>
    <w:qFormat/>
    <w:uiPriority w:val="0"/>
  </w:style>
  <w:style w:type="paragraph" w:customStyle="1" w:styleId="85">
    <w:name w:val="SubHeading"/>
    <w:basedOn w:val="1"/>
    <w:next w:val="86"/>
    <w:link w:val="119"/>
    <w:qFormat/>
    <w:uiPriority w:val="0"/>
    <w:pPr>
      <w:widowControl/>
      <w:spacing w:before="240" w:after="60"/>
      <w:jc w:val="left"/>
      <w:outlineLvl w:val="8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86">
    <w:name w:val="Doc-title"/>
    <w:basedOn w:val="1"/>
    <w:next w:val="82"/>
    <w:link w:val="110"/>
    <w:qFormat/>
    <w:uiPriority w:val="0"/>
    <w:pPr>
      <w:widowControl/>
      <w:ind w:left="1260" w:hanging="1260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7">
    <w:name w:val="TH Char"/>
    <w:link w:val="88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8">
    <w:name w:val="TH"/>
    <w:basedOn w:val="1"/>
    <w:link w:val="87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Batang"/>
      <w:b/>
      <w:color w:val="0000FF"/>
      <w:sz w:val="20"/>
      <w:szCs w:val="20"/>
      <w:lang w:eastAsia="en-US"/>
    </w:rPr>
  </w:style>
  <w:style w:type="character" w:customStyle="1" w:styleId="89">
    <w:name w:val="Caption Char"/>
    <w:link w:val="23"/>
    <w:qFormat/>
    <w:uiPriority w:val="99"/>
    <w:rPr>
      <w:rFonts w:ascii="Arial" w:hAnsi="Arial" w:eastAsia="黑体" w:cs="Arial"/>
      <w:kern w:val="2"/>
    </w:rPr>
  </w:style>
  <w:style w:type="character" w:customStyle="1" w:styleId="90">
    <w:name w:val="标题 3 Char Char"/>
    <w:basedOn w:val="56"/>
    <w:qFormat/>
    <w:uiPriority w:val="0"/>
    <w:rPr>
      <w:b/>
      <w:bCs/>
      <w:kern w:val="2"/>
      <w:sz w:val="32"/>
      <w:szCs w:val="32"/>
    </w:rPr>
  </w:style>
  <w:style w:type="character" w:customStyle="1" w:styleId="91">
    <w:name w:val="Comment Subject Char"/>
    <w:basedOn w:val="92"/>
    <w:link w:val="12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2">
    <w:name w:val="批注文字 Char"/>
    <w:basedOn w:val="56"/>
    <w:qFormat/>
    <w:uiPriority w:val="0"/>
    <w:rPr>
      <w:rFonts w:eastAsia="MS Mincho"/>
      <w:lang w:val="en-GB"/>
    </w:rPr>
  </w:style>
  <w:style w:type="character" w:customStyle="1" w:styleId="93">
    <w:name w:val="B1 Char1"/>
    <w:link w:val="94"/>
    <w:qFormat/>
    <w:locked/>
    <w:uiPriority w:val="0"/>
    <w:rPr>
      <w:lang w:val="en-GB" w:eastAsia="ja-JP"/>
    </w:rPr>
  </w:style>
  <w:style w:type="paragraph" w:customStyle="1" w:styleId="94">
    <w:name w:val="B1"/>
    <w:basedOn w:val="17"/>
    <w:link w:val="93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95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6">
    <w:name w:val="Internal Char"/>
    <w:link w:val="97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7">
    <w:name w:val="Internal"/>
    <w:basedOn w:val="98"/>
    <w:link w:val="96"/>
    <w:qFormat/>
    <w:uiPriority w:val="0"/>
    <w:rPr>
      <w:color w:val="333399"/>
    </w:rPr>
  </w:style>
  <w:style w:type="paragraph" w:customStyle="1" w:styleId="98">
    <w:name w:val="Comments"/>
    <w:basedOn w:val="1"/>
    <w:link w:val="100"/>
    <w:qFormat/>
    <w:uiPriority w:val="0"/>
    <w:pPr>
      <w:widowControl/>
      <w:spacing w:before="4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character" w:customStyle="1" w:styleId="99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0">
    <w:name w:val="Comments Char Char"/>
    <w:link w:val="98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1">
    <w:name w:val="段 Char Char"/>
    <w:basedOn w:val="56"/>
    <w:link w:val="44"/>
    <w:qFormat/>
    <w:uiPriority w:val="0"/>
    <w:rPr>
      <w:rFonts w:ascii="宋体"/>
      <w:sz w:val="21"/>
    </w:rPr>
  </w:style>
  <w:style w:type="character" w:customStyle="1" w:styleId="102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3">
    <w:name w:val="TAL Char"/>
    <w:link w:val="104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4">
    <w:name w:val="TAL"/>
    <w:basedOn w:val="1"/>
    <w:link w:val="10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MS Mincho" w:cs="Arial"/>
      <w:kern w:val="0"/>
      <w:sz w:val="18"/>
      <w:szCs w:val="18"/>
      <w:lang w:val="en-GB"/>
    </w:rPr>
  </w:style>
  <w:style w:type="character" w:customStyle="1" w:styleId="105">
    <w:name w:val="B2 Char"/>
    <w:link w:val="106"/>
    <w:qFormat/>
    <w:uiPriority w:val="0"/>
    <w:rPr>
      <w:rFonts w:eastAsia="MS Mincho"/>
      <w:lang w:val="en-GB" w:eastAsia="ja-JP"/>
    </w:rPr>
  </w:style>
  <w:style w:type="paragraph" w:customStyle="1" w:styleId="106">
    <w:name w:val="B2"/>
    <w:basedOn w:val="28"/>
    <w:link w:val="105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 w:firstLineChars="0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107">
    <w:name w:val="ZGSM"/>
    <w:qFormat/>
    <w:uiPriority w:val="0"/>
  </w:style>
  <w:style w:type="character" w:customStyle="1" w:styleId="108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09">
    <w:name w:val="标题 1 Char Char"/>
    <w:basedOn w:val="56"/>
    <w:qFormat/>
    <w:uiPriority w:val="0"/>
    <w:rPr>
      <w:b/>
      <w:bCs/>
      <w:kern w:val="44"/>
      <w:sz w:val="44"/>
      <w:szCs w:val="44"/>
    </w:rPr>
  </w:style>
  <w:style w:type="character" w:customStyle="1" w:styleId="110">
    <w:name w:val="Doc-title Char Char"/>
    <w:basedOn w:val="56"/>
    <w:link w:val="8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1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2">
    <w:name w:val="Footer Char"/>
    <w:link w:val="38"/>
    <w:qFormat/>
    <w:uiPriority w:val="99"/>
    <w:rPr>
      <w:kern w:val="2"/>
      <w:sz w:val="18"/>
      <w:szCs w:val="18"/>
    </w:rPr>
  </w:style>
  <w:style w:type="character" w:customStyle="1" w:styleId="113">
    <w:name w:val="Placeholder Text1"/>
    <w:semiHidden/>
    <w:qFormat/>
    <w:uiPriority w:val="99"/>
    <w:rPr>
      <w:color w:val="808080"/>
    </w:rPr>
  </w:style>
  <w:style w:type="character" w:customStyle="1" w:styleId="114">
    <w:name w:val="附录公式 Char Char"/>
    <w:basedOn w:val="101"/>
    <w:link w:val="115"/>
    <w:qFormat/>
    <w:uiPriority w:val="0"/>
    <w:rPr>
      <w:rFonts w:ascii="宋体"/>
      <w:sz w:val="21"/>
    </w:rPr>
  </w:style>
  <w:style w:type="paragraph" w:customStyle="1" w:styleId="115">
    <w:name w:val="附录公式"/>
    <w:basedOn w:val="44"/>
    <w:next w:val="44"/>
    <w:link w:val="114"/>
    <w:qFormat/>
    <w:uiPriority w:val="0"/>
  </w:style>
  <w:style w:type="character" w:customStyle="1" w:styleId="116">
    <w:name w:val="Plain Text Char"/>
    <w:basedOn w:val="56"/>
    <w:link w:val="32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7">
    <w:name w:val="首示例 Char Char"/>
    <w:basedOn w:val="56"/>
    <w:link w:val="118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8">
    <w:name w:val="首示例"/>
    <w:next w:val="44"/>
    <w:link w:val="117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19">
    <w:name w:val="SubHeading Char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0">
    <w:name w:val="发布"/>
    <w:basedOn w:val="56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1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2">
    <w:name w:val="B3 Char2"/>
    <w:link w:val="123"/>
    <w:qFormat/>
    <w:uiPriority w:val="0"/>
    <w:rPr>
      <w:rFonts w:eastAsia="Malgun Gothic"/>
      <w:lang w:eastAsia="en-US"/>
    </w:rPr>
  </w:style>
  <w:style w:type="paragraph" w:customStyle="1" w:styleId="123">
    <w:name w:val="B3"/>
    <w:basedOn w:val="11"/>
    <w:link w:val="122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4">
    <w:name w:val="Body Text Char"/>
    <w:basedOn w:val="56"/>
    <w:link w:val="2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5">
    <w:name w:val="Doc list Char"/>
    <w:basedOn w:val="108"/>
    <w:link w:val="126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6">
    <w:name w:val="Doc list"/>
    <w:basedOn w:val="86"/>
    <w:link w:val="125"/>
    <w:qFormat/>
    <w:uiPriority w:val="0"/>
    <w:pPr>
      <w:spacing w:before="60"/>
      <w:ind w:left="1259" w:hanging="1259"/>
    </w:pPr>
  </w:style>
  <w:style w:type="character" w:customStyle="1" w:styleId="127">
    <w:name w:val="EmailDiscussion Char Char"/>
    <w:link w:val="128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8">
    <w:name w:val="EmailDiscussion"/>
    <w:basedOn w:val="1"/>
    <w:next w:val="82"/>
    <w:link w:val="127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129">
    <w:name w:val="Header Char"/>
    <w:link w:val="39"/>
    <w:qFormat/>
    <w:uiPriority w:val="99"/>
    <w:rPr>
      <w:kern w:val="2"/>
      <w:sz w:val="18"/>
      <w:szCs w:val="18"/>
    </w:rPr>
  </w:style>
  <w:style w:type="character" w:customStyle="1" w:styleId="130">
    <w:name w:val="Doc-text2 Char Char"/>
    <w:basedOn w:val="56"/>
    <w:link w:val="8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1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2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4">
    <w:name w:val="其他发布部门"/>
    <w:basedOn w:val="135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5">
    <w:name w:val="发布部门"/>
    <w:next w:val="44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6">
    <w:name w:val="示例"/>
    <w:next w:val="137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7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8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39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0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2">
    <w:name w:val="三级条标题"/>
    <w:basedOn w:val="143"/>
    <w:next w:val="44"/>
    <w:qFormat/>
    <w:uiPriority w:val="0"/>
    <w:pPr>
      <w:outlineLvl w:val="4"/>
    </w:pPr>
  </w:style>
  <w:style w:type="paragraph" w:customStyle="1" w:styleId="143">
    <w:name w:val="二级条标题"/>
    <w:basedOn w:val="144"/>
    <w:next w:val="44"/>
    <w:qFormat/>
    <w:uiPriority w:val="0"/>
    <w:pPr>
      <w:spacing w:beforeLines="0" w:afterLines="0"/>
      <w:outlineLvl w:val="3"/>
    </w:pPr>
  </w:style>
  <w:style w:type="paragraph" w:customStyle="1" w:styleId="144">
    <w:name w:val="一级条标题"/>
    <w:next w:val="44"/>
    <w:qFormat/>
    <w:uiPriority w:val="0"/>
    <w:pPr>
      <w:spacing w:beforeLines="50" w:after="16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146">
    <w:name w:val="附录一级条标题"/>
    <w:basedOn w:val="147"/>
    <w:next w:val="44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7">
    <w:name w:val="附录章标题"/>
    <w:next w:val="44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16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8">
    <w:name w:val="四级条标题"/>
    <w:basedOn w:val="142"/>
    <w:next w:val="44"/>
    <w:qFormat/>
    <w:uiPriority w:val="0"/>
    <w:pPr>
      <w:outlineLvl w:val="5"/>
    </w:pPr>
  </w:style>
  <w:style w:type="character" w:customStyle="1" w:styleId="149">
    <w:name w:val="Footnote Text Char"/>
    <w:basedOn w:val="56"/>
    <w:link w:val="45"/>
    <w:qFormat/>
    <w:uiPriority w:val="0"/>
    <w:rPr>
      <w:rFonts w:ascii="宋体"/>
      <w:kern w:val="2"/>
      <w:sz w:val="18"/>
      <w:szCs w:val="18"/>
    </w:rPr>
  </w:style>
  <w:style w:type="paragraph" w:customStyle="1" w:styleId="150">
    <w:name w:val="章标题"/>
    <w:next w:val="44"/>
    <w:qFormat/>
    <w:uiPriority w:val="0"/>
    <w:pPr>
      <w:spacing w:beforeLines="100" w:after="16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1">
    <w:name w:val="正文表标题"/>
    <w:next w:val="44"/>
    <w:qFormat/>
    <w:uiPriority w:val="0"/>
    <w:pPr>
      <w:tabs>
        <w:tab w:val="left" w:pos="0"/>
        <w:tab w:val="left" w:pos="360"/>
      </w:tabs>
      <w:spacing w:beforeLines="50" w:after="16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2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hAnsi="Arial"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3">
    <w:name w:val="注："/>
    <w:next w:val="44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4">
    <w:name w:val="附录五级条标题"/>
    <w:basedOn w:val="155"/>
    <w:next w:val="44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5">
    <w:name w:val="附录四级条标题"/>
    <w:basedOn w:val="156"/>
    <w:next w:val="44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6">
    <w:name w:val="附录三级条标题"/>
    <w:basedOn w:val="157"/>
    <w:next w:val="44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7">
    <w:name w:val="附录二级条标题"/>
    <w:basedOn w:val="1"/>
    <w:next w:val="44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58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9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color w:val="C00000"/>
      <w:kern w:val="0"/>
      <w:sz w:val="18"/>
      <w:lang w:val="en-GB" w:eastAsia="en-GB"/>
    </w:rPr>
  </w:style>
  <w:style w:type="paragraph" w:customStyle="1" w:styleId="160">
    <w:name w:val="一级无"/>
    <w:basedOn w:val="144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1">
    <w:name w:val="纯文本 Char1"/>
    <w:basedOn w:val="56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2">
    <w:name w:val="H6"/>
    <w:basedOn w:val="6"/>
    <w:next w:val="1"/>
    <w:qFormat/>
    <w:uiPriority w:val="0"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163">
    <w:name w:val="附录四级无"/>
    <w:basedOn w:val="155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4">
    <w:name w:val="实施日期"/>
    <w:basedOn w:val="165"/>
    <w:qFormat/>
    <w:uiPriority w:val="0"/>
    <w:pPr>
      <w:jc w:val="right"/>
    </w:pPr>
  </w:style>
  <w:style w:type="paragraph" w:customStyle="1" w:styleId="165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7">
    <w:name w:val="LS Approved"/>
    <w:basedOn w:val="1"/>
    <w:next w:val="82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168">
    <w:name w:val="封面标准文稿类别2"/>
    <w:basedOn w:val="169"/>
    <w:qFormat/>
    <w:uiPriority w:val="0"/>
  </w:style>
  <w:style w:type="paragraph" w:customStyle="1" w:styleId="169">
    <w:name w:val="封面标准文稿类别"/>
    <w:basedOn w:val="170"/>
    <w:qFormat/>
    <w:uiPriority w:val="0"/>
    <w:pPr>
      <w:spacing w:line="240" w:lineRule="auto"/>
    </w:pPr>
    <w:rPr>
      <w:sz w:val="24"/>
    </w:rPr>
  </w:style>
  <w:style w:type="paragraph" w:customStyle="1" w:styleId="170">
    <w:name w:val="封面一致性程度标识"/>
    <w:basedOn w:val="171"/>
    <w:qFormat/>
    <w:uiPriority w:val="0"/>
    <w:pPr>
      <w:spacing w:before="440"/>
    </w:pPr>
    <w:rPr>
      <w:rFonts w:ascii="宋体" w:eastAsia="宋体"/>
    </w:rPr>
  </w:style>
  <w:style w:type="paragraph" w:customStyle="1" w:styleId="171">
    <w:name w:val="封面标准英文名称"/>
    <w:basedOn w:val="172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2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3">
    <w:name w:val="五级条标题"/>
    <w:basedOn w:val="148"/>
    <w:next w:val="44"/>
    <w:qFormat/>
    <w:uiPriority w:val="0"/>
    <w:pPr>
      <w:outlineLvl w:val="6"/>
    </w:pPr>
  </w:style>
  <w:style w:type="paragraph" w:customStyle="1" w:styleId="174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5">
    <w:name w:val="Comment Text Char"/>
    <w:basedOn w:val="56"/>
    <w:link w:val="13"/>
    <w:semiHidden/>
    <w:qFormat/>
    <w:uiPriority w:val="0"/>
    <w:rPr>
      <w:kern w:val="2"/>
      <w:sz w:val="21"/>
      <w:szCs w:val="24"/>
    </w:rPr>
  </w:style>
  <w:style w:type="character" w:customStyle="1" w:styleId="176">
    <w:name w:val="批注主题 Char1"/>
    <w:basedOn w:val="175"/>
    <w:semiHidden/>
    <w:qFormat/>
    <w:uiPriority w:val="0"/>
    <w:rPr>
      <w:b/>
      <w:bCs/>
      <w:kern w:val="2"/>
      <w:sz w:val="21"/>
      <w:szCs w:val="24"/>
    </w:rPr>
  </w:style>
  <w:style w:type="paragraph" w:customStyle="1" w:styleId="177">
    <w:name w:val="封面标准英文名称2"/>
    <w:basedOn w:val="171"/>
    <w:qFormat/>
    <w:uiPriority w:val="0"/>
  </w:style>
  <w:style w:type="paragraph" w:customStyle="1" w:styleId="178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79">
    <w:name w:val="封面一致性程度标识2"/>
    <w:basedOn w:val="170"/>
    <w:qFormat/>
    <w:uiPriority w:val="0"/>
  </w:style>
  <w:style w:type="paragraph" w:customStyle="1" w:styleId="180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1">
    <w:name w:val="正文文本 Char1"/>
    <w:basedOn w:val="56"/>
    <w:semiHidden/>
    <w:qFormat/>
    <w:uiPriority w:val="0"/>
    <w:rPr>
      <w:kern w:val="2"/>
      <w:sz w:val="21"/>
      <w:szCs w:val="24"/>
    </w:rPr>
  </w:style>
  <w:style w:type="paragraph" w:customStyle="1" w:styleId="18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3">
    <w:name w:val="三级无"/>
    <w:basedOn w:val="142"/>
    <w:qFormat/>
    <w:uiPriority w:val="0"/>
    <w:rPr>
      <w:rFonts w:ascii="宋体" w:eastAsia="宋体"/>
    </w:rPr>
  </w:style>
  <w:style w:type="paragraph" w:customStyle="1" w:styleId="184">
    <w:name w:val="条文脚注"/>
    <w:basedOn w:val="45"/>
    <w:qFormat/>
    <w:uiPriority w:val="0"/>
    <w:pPr>
      <w:jc w:val="both"/>
    </w:pPr>
  </w:style>
  <w:style w:type="paragraph" w:customStyle="1" w:styleId="185">
    <w:name w:val="其他标准标志"/>
    <w:basedOn w:val="186"/>
    <w:qFormat/>
    <w:uiPriority w:val="0"/>
    <w:rPr>
      <w:w w:val="130"/>
    </w:rPr>
  </w:style>
  <w:style w:type="paragraph" w:customStyle="1" w:styleId="186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7">
    <w:name w:val="Agreement"/>
    <w:basedOn w:val="1"/>
    <w:next w:val="82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89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0">
    <w:name w:val="附录五级无"/>
    <w:basedOn w:val="154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1">
    <w:name w:val="图的脚注"/>
    <w:next w:val="44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2">
    <w:name w:val="Endnote Text Char"/>
    <w:basedOn w:val="56"/>
    <w:link w:val="36"/>
    <w:qFormat/>
    <w:uiPriority w:val="0"/>
    <w:rPr>
      <w:kern w:val="2"/>
      <w:sz w:val="21"/>
      <w:szCs w:val="24"/>
    </w:rPr>
  </w:style>
  <w:style w:type="paragraph" w:customStyle="1" w:styleId="19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4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5">
    <w:name w:val="附录公式编号制表符"/>
    <w:basedOn w:val="1"/>
    <w:next w:val="44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6">
    <w:name w:val="参考文献、索引标题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7">
    <w:name w:val="TF"/>
    <w:basedOn w:val="88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198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99">
    <w:name w:val="TAH"/>
    <w:basedOn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 w:cs="Arial"/>
      <w:b/>
      <w:bCs/>
      <w:kern w:val="0"/>
      <w:sz w:val="18"/>
      <w:szCs w:val="18"/>
      <w:lang w:val="en-GB"/>
    </w:rPr>
  </w:style>
  <w:style w:type="paragraph" w:customStyle="1" w:styleId="200">
    <w:name w:val="示例后文字"/>
    <w:basedOn w:val="44"/>
    <w:next w:val="44"/>
    <w:qFormat/>
    <w:uiPriority w:val="0"/>
    <w:pPr>
      <w:ind w:firstLine="360"/>
    </w:pPr>
    <w:rPr>
      <w:sz w:val="18"/>
    </w:rPr>
  </w:style>
  <w:style w:type="paragraph" w:customStyle="1" w:styleId="201">
    <w:name w:val="图标脚注说明"/>
    <w:basedOn w:val="44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2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203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4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eastAsia="Times New Roman"/>
      <w:b/>
      <w:bCs/>
      <w:kern w:val="0"/>
      <w:sz w:val="20"/>
      <w:szCs w:val="20"/>
      <w:lang w:val="en-GB"/>
    </w:rPr>
  </w:style>
  <w:style w:type="paragraph" w:customStyle="1" w:styleId="205">
    <w:name w:val="参考文献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6">
    <w:name w:val="正文图标题"/>
    <w:next w:val="44"/>
    <w:qFormat/>
    <w:uiPriority w:val="0"/>
    <w:pPr>
      <w:tabs>
        <w:tab w:val="left" w:pos="1304"/>
      </w:tabs>
      <w:spacing w:beforeLines="50" w:after="16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0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08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209">
    <w:name w:val="其他实施日期"/>
    <w:basedOn w:val="164"/>
    <w:qFormat/>
    <w:uiPriority w:val="0"/>
  </w:style>
  <w:style w:type="paragraph" w:customStyle="1" w:styleId="210">
    <w:name w:val="附录标识"/>
    <w:basedOn w:val="1"/>
    <w:next w:val="44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1">
    <w:name w:val="四级无"/>
    <w:basedOn w:val="148"/>
    <w:qFormat/>
    <w:uiPriority w:val="0"/>
    <w:rPr>
      <w:rFonts w:ascii="宋体" w:eastAsia="宋体"/>
    </w:rPr>
  </w:style>
  <w:style w:type="paragraph" w:customStyle="1" w:styleId="212">
    <w:name w:val="示例×："/>
    <w:basedOn w:val="150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3">
    <w:name w:val="EmailDiscussion2"/>
    <w:basedOn w:val="82"/>
    <w:qFormat/>
    <w:uiPriority w:val="0"/>
  </w:style>
  <w:style w:type="paragraph" w:customStyle="1" w:styleId="214">
    <w:name w:val="B5"/>
    <w:basedOn w:val="47"/>
    <w:qFormat/>
    <w:uiPriority w:val="0"/>
  </w:style>
  <w:style w:type="paragraph" w:customStyle="1" w:styleId="215">
    <w:name w:val="其他发布日期"/>
    <w:basedOn w:val="165"/>
    <w:qFormat/>
    <w:uiPriority w:val="0"/>
  </w:style>
  <w:style w:type="paragraph" w:customStyle="1" w:styleId="216">
    <w:name w:val="B4"/>
    <w:basedOn w:val="48"/>
    <w:link w:val="274"/>
    <w:qFormat/>
    <w:uiPriority w:val="0"/>
  </w:style>
  <w:style w:type="paragraph" w:customStyle="1" w:styleId="217">
    <w:name w:val="NO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218">
    <w:name w:val="Review-comment2"/>
    <w:basedOn w:val="159"/>
    <w:qFormat/>
    <w:uiPriority w:val="0"/>
    <w:rPr>
      <w:color w:val="0070C0"/>
    </w:rPr>
  </w:style>
  <w:style w:type="paragraph" w:customStyle="1" w:styleId="219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0">
    <w:name w:val="附录表标号"/>
    <w:basedOn w:val="1"/>
    <w:next w:val="44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1">
    <w:name w:val="附录图标题"/>
    <w:basedOn w:val="1"/>
    <w:next w:val="44"/>
    <w:qFormat/>
    <w:uiPriority w:val="0"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222">
    <w:name w:val="附录标题"/>
    <w:basedOn w:val="44"/>
    <w:next w:val="44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3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4">
    <w:name w:val="TAC"/>
    <w:basedOn w:val="104"/>
    <w:qFormat/>
    <w:uiPriority w:val="0"/>
    <w:pPr>
      <w:jc w:val="center"/>
    </w:pPr>
    <w:rPr>
      <w:szCs w:val="20"/>
      <w:lang w:eastAsia="en-US"/>
    </w:rPr>
  </w:style>
  <w:style w:type="paragraph" w:customStyle="1" w:styleId="225">
    <w:name w:val="标准书眉_偶数页"/>
    <w:basedOn w:val="139"/>
    <w:next w:val="1"/>
    <w:qFormat/>
    <w:uiPriority w:val="0"/>
    <w:pPr>
      <w:jc w:val="left"/>
    </w:pPr>
  </w:style>
  <w:style w:type="paragraph" w:customStyle="1" w:styleId="226">
    <w:name w:val="附录三级无"/>
    <w:basedOn w:val="15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7">
    <w:name w:val="TAR"/>
    <w:basedOn w:val="104"/>
    <w:qFormat/>
    <w:uiPriority w:val="0"/>
    <w:pPr>
      <w:jc w:val="right"/>
    </w:pPr>
    <w:rPr>
      <w:szCs w:val="20"/>
      <w:lang w:eastAsia="en-US"/>
    </w:rPr>
  </w:style>
  <w:style w:type="paragraph" w:customStyle="1" w:styleId="228">
    <w:name w:val="ZV"/>
    <w:basedOn w:val="141"/>
    <w:qFormat/>
    <w:uiPriority w:val="0"/>
    <w:pPr>
      <w:framePr w:y="16161"/>
    </w:pPr>
  </w:style>
  <w:style w:type="paragraph" w:customStyle="1" w:styleId="229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0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NW"/>
    <w:basedOn w:val="217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2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3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4">
    <w:name w:val="二级无"/>
    <w:basedOn w:val="143"/>
    <w:qFormat/>
    <w:uiPriority w:val="0"/>
    <w:rPr>
      <w:rFonts w:ascii="宋体" w:eastAsia="宋体"/>
    </w:rPr>
  </w:style>
  <w:style w:type="paragraph" w:customStyle="1" w:styleId="235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6">
    <w:name w:val="注：（正文）"/>
    <w:basedOn w:val="153"/>
    <w:next w:val="44"/>
    <w:qFormat/>
    <w:uiPriority w:val="0"/>
    <w:pPr>
      <w:tabs>
        <w:tab w:val="left" w:pos="840"/>
      </w:tabs>
      <w:ind w:left="839" w:hanging="419"/>
    </w:pPr>
  </w:style>
  <w:style w:type="paragraph" w:customStyle="1" w:styleId="237">
    <w:name w:val="MiniHeading"/>
    <w:basedOn w:val="98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8">
    <w:name w:val="Editor's Note"/>
    <w:basedOn w:val="217"/>
    <w:qFormat/>
    <w:uiPriority w:val="0"/>
    <w:rPr>
      <w:rFonts w:eastAsia="MS Mincho"/>
      <w:color w:val="FF0000"/>
      <w:lang w:eastAsia="en-US"/>
    </w:rPr>
  </w:style>
  <w:style w:type="paragraph" w:customStyle="1" w:styleId="239">
    <w:name w:val="终结线"/>
    <w:basedOn w:val="1"/>
    <w:qFormat/>
    <w:uiPriority w:val="0"/>
  </w:style>
  <w:style w:type="paragraph" w:customStyle="1" w:styleId="240">
    <w:name w:val="五级无"/>
    <w:basedOn w:val="173"/>
    <w:qFormat/>
    <w:uiPriority w:val="0"/>
    <w:rPr>
      <w:rFonts w:ascii="宋体" w:eastAsia="宋体"/>
    </w:rPr>
  </w:style>
  <w:style w:type="paragraph" w:customStyle="1" w:styleId="241">
    <w:name w:val="正文公式编号制表符"/>
    <w:basedOn w:val="44"/>
    <w:next w:val="44"/>
    <w:qFormat/>
    <w:uiPriority w:val="0"/>
    <w:pPr>
      <w:ind w:firstLine="0" w:firstLineChars="0"/>
    </w:pPr>
  </w:style>
  <w:style w:type="paragraph" w:customStyle="1" w:styleId="242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3">
    <w:name w:val="封面标准文稿编辑信息2"/>
    <w:basedOn w:val="244"/>
    <w:qFormat/>
    <w:uiPriority w:val="0"/>
  </w:style>
  <w:style w:type="paragraph" w:customStyle="1" w:styleId="244">
    <w:name w:val="封面标准文稿编辑信息"/>
    <w:basedOn w:val="169"/>
    <w:qFormat/>
    <w:uiPriority w:val="0"/>
    <w:pPr>
      <w:spacing w:before="180" w:line="180" w:lineRule="exact"/>
    </w:pPr>
    <w:rPr>
      <w:sz w:val="21"/>
    </w:rPr>
  </w:style>
  <w:style w:type="paragraph" w:customStyle="1" w:styleId="24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6">
    <w:name w:val="NF"/>
    <w:basedOn w:val="217"/>
    <w:qFormat/>
    <w:uiPriority w:val="0"/>
    <w:pPr>
      <w:keepNext/>
      <w:spacing w:after="0"/>
    </w:pPr>
    <w:rPr>
      <w:rFonts w:ascii="Arial" w:hAnsi="Arial" w:eastAsia="MS Mincho"/>
      <w:sz w:val="18"/>
      <w:lang w:eastAsia="en-US"/>
    </w:rPr>
  </w:style>
  <w:style w:type="paragraph" w:customStyle="1" w:styleId="247">
    <w:name w:val="Style1"/>
    <w:basedOn w:val="5"/>
    <w:qFormat/>
    <w:uiPriority w:val="0"/>
    <w:pPr>
      <w:keepLines w:val="0"/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2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49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0">
    <w:name w:val="封面标准名称2"/>
    <w:basedOn w:val="172"/>
    <w:qFormat/>
    <w:uiPriority w:val="0"/>
    <w:pPr>
      <w:spacing w:beforeLines="630"/>
    </w:pPr>
  </w:style>
  <w:style w:type="paragraph" w:customStyle="1" w:styleId="251">
    <w:name w:val="前言、引言标题"/>
    <w:next w:val="44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2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3">
    <w:name w:val="comments"/>
    <w:basedOn w:val="1"/>
    <w:qFormat/>
    <w:uiPriority w:val="0"/>
    <w:pPr>
      <w:widowControl/>
      <w:spacing w:before="40"/>
      <w:jc w:val="left"/>
    </w:pPr>
    <w:rPr>
      <w:rFonts w:ascii="Arial" w:hAnsi="Arial" w:eastAsia="Calibri" w:cs="Arial"/>
      <w:i/>
      <w:iCs/>
      <w:kern w:val="0"/>
      <w:sz w:val="18"/>
      <w:szCs w:val="18"/>
      <w:lang w:eastAsia="en-US"/>
    </w:rPr>
  </w:style>
  <w:style w:type="paragraph" w:customStyle="1" w:styleId="254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5">
    <w:name w:val="ZTD"/>
    <w:basedOn w:val="133"/>
    <w:qFormat/>
    <w:uiPriority w:val="0"/>
    <w:pPr>
      <w:framePr w:hRule="auto" w:y="852"/>
    </w:pPr>
    <w:rPr>
      <w:i w:val="0"/>
      <w:sz w:val="40"/>
    </w:rPr>
  </w:style>
  <w:style w:type="paragraph" w:customStyle="1" w:styleId="256">
    <w:name w:val="附录表标题"/>
    <w:basedOn w:val="1"/>
    <w:next w:val="44"/>
    <w:qFormat/>
    <w:uiPriority w:val="0"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257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8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59">
    <w:name w:val="附录二级无"/>
    <w:basedOn w:val="15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0">
    <w:name w:val="附录一级无"/>
    <w:basedOn w:val="14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2">
    <w:name w:val="目次、标准名称标题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3">
    <w:name w:val="TAN"/>
    <w:basedOn w:val="104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4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5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7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8">
    <w:name w:val="EW"/>
    <w:basedOn w:val="145"/>
    <w:qFormat/>
    <w:uiPriority w:val="0"/>
    <w:pPr>
      <w:spacing w:after="0"/>
    </w:pPr>
  </w:style>
  <w:style w:type="paragraph" w:customStyle="1" w:styleId="269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0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1">
    <w:name w:val="Observation"/>
    <w:basedOn w:val="204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2">
    <w:name w:val="List Paragraph Char"/>
    <w:link w:val="67"/>
    <w:qFormat/>
    <w:locked/>
    <w:uiPriority w:val="34"/>
    <w:rPr>
      <w:kern w:val="2"/>
      <w:sz w:val="21"/>
      <w:szCs w:val="24"/>
    </w:rPr>
  </w:style>
  <w:style w:type="character" w:customStyle="1" w:styleId="273">
    <w:name w:val="B3 Char"/>
    <w:basedOn w:val="56"/>
    <w:qFormat/>
    <w:uiPriority w:val="0"/>
    <w:rPr>
      <w:lang w:val="en-GB"/>
    </w:rPr>
  </w:style>
  <w:style w:type="character" w:customStyle="1" w:styleId="274">
    <w:name w:val="B4 Char"/>
    <w:link w:val="216"/>
    <w:qFormat/>
    <w:uiPriority w:val="0"/>
    <w:rPr>
      <w:rFonts w:eastAsia="MS Mincho"/>
      <w:lang w:val="en-GB" w:eastAsia="en-US"/>
    </w:rPr>
  </w:style>
  <w:style w:type="paragraph" w:customStyle="1" w:styleId="275">
    <w:name w:val="Guidance"/>
    <w:basedOn w:val="1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276">
    <w:name w:val="B1 Zchn"/>
    <w:qFormat/>
    <w:uiPriority w:val="0"/>
    <w:rPr>
      <w:lang w:eastAsia="en-US"/>
    </w:rPr>
  </w:style>
  <w:style w:type="table" w:customStyle="1" w:styleId="277">
    <w:name w:val="Table Normal1"/>
    <w:basedOn w:val="64"/>
    <w:semiHidden/>
    <w:qFormat/>
    <w:uiPriority w:val="0"/>
    <w:pPr>
      <w:spacing w:after="0"/>
    </w:pPr>
    <w:rPr>
      <w:rFonts w:ascii="Calibri" w:hAnsi="Calibri" w:cs="Calibri"/>
    </w:rPr>
  </w:style>
  <w:style w:type="character" w:customStyle="1" w:styleId="278">
    <w:name w:val="NO Char"/>
    <w:basedOn w:val="56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279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sz w:val="21"/>
      <w:szCs w:val="22"/>
      <w:lang w:val="en-GB" w:eastAsia="en-US" w:bidi="ar-SA"/>
    </w:rPr>
  </w:style>
  <w:style w:type="paragraph" w:styleId="280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image" Target="media/image2.wmf"/><Relationship Id="rId7" Type="http://schemas.openxmlformats.org/officeDocument/2006/relationships/image" Target="media/image1.wmf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1.wmf"/><Relationship Id="rId16" Type="http://schemas.openxmlformats.org/officeDocument/2006/relationships/image" Target="media/image10.wmf"/><Relationship Id="rId15" Type="http://schemas.openxmlformats.org/officeDocument/2006/relationships/image" Target="media/image9.wmf"/><Relationship Id="rId14" Type="http://schemas.openxmlformats.org/officeDocument/2006/relationships/image" Target="media/image8.wmf"/><Relationship Id="rId13" Type="http://schemas.openxmlformats.org/officeDocument/2006/relationships/image" Target="media/image7.wmf"/><Relationship Id="rId12" Type="http://schemas.openxmlformats.org/officeDocument/2006/relationships/image" Target="media/image6.wmf"/><Relationship Id="rId11" Type="http://schemas.openxmlformats.org/officeDocument/2006/relationships/image" Target="media/image5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172D4C-C598-4EFA-8B8E-D6D3DC43F7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1117</Words>
  <Characters>6367</Characters>
  <Lines>53</Lines>
  <Paragraphs>14</Paragraphs>
  <TotalTime>0</TotalTime>
  <ScaleCrop>false</ScaleCrop>
  <LinksUpToDate>false</LinksUpToDate>
  <CharactersWithSpaces>7470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2017-09-06T12:59:00Z</dcterms:created>
  <dc:creator>10033860</dc:creator>
  <cp:lastModifiedBy>ZTE</cp:lastModifiedBy>
  <cp:lastPrinted>2113-01-01T00:00:00Z</cp:lastPrinted>
  <dcterms:modified xsi:type="dcterms:W3CDTF">2018-06-22T01:04:51Z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